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7A" w:rsidRPr="008F4C7A" w:rsidRDefault="008F4C7A" w:rsidP="00F92762">
      <w:pPr>
        <w:spacing w:after="120" w:line="240" w:lineRule="auto"/>
        <w:ind w:right="51"/>
        <w:jc w:val="both"/>
        <w:rPr>
          <w:rFonts w:ascii="Arial" w:eastAsia="Arial" w:hAnsi="Arial" w:cs="Arial"/>
          <w:b/>
          <w:sz w:val="24"/>
          <w:szCs w:val="24"/>
          <w:lang w:val="es-ES"/>
        </w:rPr>
      </w:pPr>
      <w:bookmarkStart w:id="0" w:name="_GoBack"/>
      <w:bookmarkEnd w:id="0"/>
      <w:r w:rsidRPr="008F4C7A">
        <w:rPr>
          <w:rFonts w:ascii="Arial" w:eastAsia="Arial" w:hAnsi="Arial" w:cs="Arial"/>
          <w:b/>
          <w:sz w:val="24"/>
          <w:szCs w:val="24"/>
          <w:lang w:val="es-ES"/>
        </w:rPr>
        <w:t>ACUERDO MEDIANTE EL CUAL</w:t>
      </w:r>
      <w:r w:rsidR="004D3007">
        <w:rPr>
          <w:rFonts w:ascii="Arial" w:eastAsia="Arial" w:hAnsi="Arial" w:cs="Arial"/>
          <w:b/>
          <w:sz w:val="24"/>
          <w:szCs w:val="24"/>
          <w:lang w:val="es-ES"/>
        </w:rPr>
        <w:t>,</w:t>
      </w:r>
      <w:r w:rsidRPr="008F4C7A">
        <w:rPr>
          <w:rFonts w:ascii="Arial" w:eastAsia="Arial" w:hAnsi="Arial" w:cs="Arial"/>
          <w:b/>
          <w:sz w:val="24"/>
          <w:szCs w:val="24"/>
          <w:lang w:val="es-ES"/>
        </w:rPr>
        <w:t xml:space="preserve"> EL PLENO </w:t>
      </w:r>
      <w:r w:rsidR="004D3007">
        <w:rPr>
          <w:rFonts w:ascii="Arial" w:eastAsia="Arial" w:hAnsi="Arial" w:cs="Arial"/>
          <w:b/>
          <w:sz w:val="24"/>
          <w:szCs w:val="24"/>
          <w:lang w:val="es-ES"/>
        </w:rPr>
        <w:t xml:space="preserve">DEL </w:t>
      </w:r>
      <w:r w:rsidR="004D3007" w:rsidRPr="008F4C7A">
        <w:rPr>
          <w:rFonts w:ascii="Arial" w:eastAsia="Arial" w:hAnsi="Arial" w:cs="Arial"/>
          <w:b/>
          <w:sz w:val="24"/>
          <w:szCs w:val="24"/>
          <w:lang w:val="es-ES"/>
        </w:rPr>
        <w:t>INSTITUTO CHIHUAHUENSE PARA LA TRANSPARENCIA Y ACCESO A LA INFORMACIÓN PÚBLICA</w:t>
      </w:r>
      <w:r w:rsidR="004D3007">
        <w:rPr>
          <w:rFonts w:ascii="Arial" w:eastAsia="Arial" w:hAnsi="Arial" w:cs="Arial"/>
          <w:b/>
          <w:sz w:val="24"/>
          <w:szCs w:val="24"/>
          <w:lang w:val="es-ES"/>
        </w:rPr>
        <w:t xml:space="preserve">, </w:t>
      </w:r>
      <w:r w:rsidR="00D41C9E">
        <w:rPr>
          <w:rFonts w:ascii="Arial" w:eastAsia="Arial" w:hAnsi="Arial" w:cs="Arial"/>
          <w:b/>
          <w:sz w:val="24"/>
          <w:szCs w:val="24"/>
          <w:lang w:val="es-ES"/>
        </w:rPr>
        <w:t>AUTORIZA LA ENAJENACIÓN  DE VEHÍCULOS EN PRECARIAS CONDICIONES,</w:t>
      </w:r>
      <w:r w:rsidR="00BC35B5">
        <w:rPr>
          <w:rFonts w:ascii="Arial" w:eastAsia="Arial" w:hAnsi="Arial" w:cs="Arial"/>
          <w:b/>
          <w:sz w:val="24"/>
          <w:szCs w:val="24"/>
          <w:lang w:val="es-ES"/>
        </w:rPr>
        <w:t xml:space="preserve"> PROPIEDAD DEL ORGANISMO, DESTINADO </w:t>
      </w:r>
      <w:r w:rsidR="00D41C9E">
        <w:rPr>
          <w:rFonts w:ascii="Arial" w:eastAsia="Arial" w:hAnsi="Arial" w:cs="Arial"/>
          <w:b/>
          <w:sz w:val="24"/>
          <w:szCs w:val="24"/>
          <w:lang w:val="es-ES"/>
        </w:rPr>
        <w:t xml:space="preserve">A LA RENOVACIÓN PARCIAL DEL PARQUE VEHICULAR QUE ATIENDA LAS NECESIDADES </w:t>
      </w:r>
      <w:r w:rsidR="00BC35B5">
        <w:rPr>
          <w:rFonts w:ascii="Arial" w:eastAsia="Arial" w:hAnsi="Arial" w:cs="Arial"/>
          <w:b/>
          <w:sz w:val="24"/>
          <w:szCs w:val="24"/>
          <w:lang w:val="es-ES"/>
        </w:rPr>
        <w:t>DEL MISMO</w:t>
      </w:r>
      <w:r w:rsidR="00D41C9E">
        <w:rPr>
          <w:rFonts w:ascii="Arial" w:eastAsia="Arial" w:hAnsi="Arial" w:cs="Arial"/>
          <w:b/>
          <w:sz w:val="24"/>
          <w:szCs w:val="24"/>
          <w:lang w:val="es-ES"/>
        </w:rPr>
        <w:t>.</w:t>
      </w:r>
    </w:p>
    <w:p w:rsidR="0095135C" w:rsidRPr="00A526B5" w:rsidRDefault="00E802D8" w:rsidP="00A526B5">
      <w:pPr>
        <w:spacing w:before="120" w:after="120" w:line="360" w:lineRule="auto"/>
        <w:ind w:right="49"/>
        <w:jc w:val="center"/>
        <w:rPr>
          <w:rFonts w:ascii="Arial" w:eastAsia="Arial" w:hAnsi="Arial" w:cs="Arial"/>
          <w:b/>
          <w:sz w:val="24"/>
          <w:szCs w:val="24"/>
          <w:lang w:val="es-MX"/>
        </w:rPr>
      </w:pPr>
      <w:r w:rsidRPr="00C002CB">
        <w:rPr>
          <w:rFonts w:ascii="Arial" w:eastAsia="Arial" w:hAnsi="Arial" w:cs="Arial"/>
          <w:b/>
          <w:sz w:val="24"/>
          <w:szCs w:val="24"/>
          <w:lang w:val="es-MX"/>
        </w:rPr>
        <w:t>CONSIDERANDO</w:t>
      </w:r>
    </w:p>
    <w:p w:rsidR="006A7D88" w:rsidRPr="006A7D88" w:rsidRDefault="006A7D88" w:rsidP="006A7D88">
      <w:pPr>
        <w:pStyle w:val="Prrafodelista"/>
        <w:numPr>
          <w:ilvl w:val="0"/>
          <w:numId w:val="9"/>
        </w:numPr>
        <w:spacing w:line="276" w:lineRule="auto"/>
        <w:ind w:left="714" w:hanging="357"/>
        <w:jc w:val="both"/>
        <w:rPr>
          <w:rFonts w:ascii="Arial" w:hAnsi="Arial" w:cs="Arial"/>
          <w:bCs/>
          <w:sz w:val="24"/>
          <w:szCs w:val="24"/>
          <w:lang w:val="es-ES"/>
        </w:rPr>
      </w:pPr>
      <w:r w:rsidRPr="006A7D88">
        <w:rPr>
          <w:rFonts w:ascii="Arial" w:hAnsi="Arial" w:cs="Arial"/>
          <w:bCs/>
          <w:sz w:val="24"/>
          <w:szCs w:val="24"/>
          <w:lang w:val="es-ES"/>
        </w:rPr>
        <w:t>Que el Instituto Chihuahuense para la Transparencia y Acceso a la Información Pública, creado por disposición expresa de los Artículos 6, Apartado A, párrafo cuarto y 116, fracción VIII de la Constitución Política de los Estados Unidos Mexicanos; así como 4, párrafo undécimo, de la Constitución Política del Estado de Chihuahua, es un organismo público autónomo, depositario de la autoridad en la materia, contando con personalidad jurídica, patrimonio y competencia propia, de conformidad con los Artículos 5, fracción XXV, 12y 19 la Ley de Transparencia y Acceso a la Información Pública del Estado de Chihuahua y así como el artículo 21 de la Ley de Protección de Datos Personales del Estado de Chihuahua.</w:t>
      </w:r>
    </w:p>
    <w:p w:rsidR="006A7D88" w:rsidRDefault="006A7D88" w:rsidP="006A7D88">
      <w:pPr>
        <w:pStyle w:val="Textoindependiente"/>
        <w:spacing w:line="276" w:lineRule="auto"/>
        <w:ind w:left="720"/>
        <w:rPr>
          <w:rFonts w:cs="Arial"/>
          <w:bCs/>
          <w:sz w:val="24"/>
          <w:szCs w:val="24"/>
        </w:rPr>
      </w:pPr>
    </w:p>
    <w:p w:rsidR="0095135C" w:rsidRDefault="0095135C" w:rsidP="00BC35B5">
      <w:pPr>
        <w:pStyle w:val="Textoindependiente"/>
        <w:numPr>
          <w:ilvl w:val="0"/>
          <w:numId w:val="9"/>
        </w:numPr>
        <w:spacing w:line="276" w:lineRule="auto"/>
        <w:rPr>
          <w:rFonts w:cs="Arial"/>
          <w:bCs/>
          <w:sz w:val="24"/>
          <w:szCs w:val="24"/>
        </w:rPr>
      </w:pPr>
      <w:r w:rsidRPr="004F1F0E">
        <w:rPr>
          <w:rFonts w:cs="Arial"/>
          <w:bCs/>
          <w:sz w:val="24"/>
          <w:szCs w:val="24"/>
        </w:rPr>
        <w:t>Que conforme al Artículo 15 de la Ley de Transparencia y Acceso a la Información Pública del Estado de Chihuahua, este organismo público autónomo administra su patrimonio conforme a dicha Ley, su reglamento interior, y demás disposiciones que emita el Pleno, tomando en cuenta los principios de austeridad, honestidad, legalidad, racionalidad y optimización de recursos, en el ejercicio del presupuesto, prevaleciendo el interés público y social, pudiendo aplicar supletoriamente en el ejercicio de los recursos, los ordenamientos jurídicos estatales, en tanto no se opongan a la autonomía, naturaleza y funciones propias del Instituto.</w:t>
      </w:r>
    </w:p>
    <w:p w:rsidR="004D6B18" w:rsidRDefault="004D6B18" w:rsidP="004D6B18">
      <w:pPr>
        <w:pStyle w:val="Prrafodelista"/>
        <w:rPr>
          <w:rFonts w:cs="Arial"/>
          <w:bCs/>
          <w:sz w:val="24"/>
          <w:szCs w:val="24"/>
        </w:rPr>
      </w:pPr>
    </w:p>
    <w:p w:rsidR="00A96C44" w:rsidRDefault="004D6B18" w:rsidP="00A96C44">
      <w:pPr>
        <w:pStyle w:val="Textoindependiente"/>
        <w:numPr>
          <w:ilvl w:val="0"/>
          <w:numId w:val="9"/>
        </w:numPr>
        <w:spacing w:line="276" w:lineRule="auto"/>
        <w:rPr>
          <w:rFonts w:cs="Arial"/>
          <w:bCs/>
          <w:sz w:val="24"/>
          <w:szCs w:val="24"/>
        </w:rPr>
      </w:pPr>
      <w:r w:rsidRPr="005C1FD4">
        <w:rPr>
          <w:rFonts w:cs="Arial"/>
          <w:sz w:val="24"/>
          <w:szCs w:val="24"/>
        </w:rPr>
        <w:t>Que el artículo 19, fracción IX incisos i) y k)  de la Ley de Transparencia y Acceso a la Información Pública del Estado de Chihuahua, establece en materia de administración y gobierno interno la atribución al Consejo General de establecer las normas, procedimientos y criterios para la administración de los recursos financieros y materiales del Organismo Garante.</w:t>
      </w:r>
    </w:p>
    <w:p w:rsidR="00A96C44" w:rsidRDefault="00A96C44" w:rsidP="00A96C44">
      <w:pPr>
        <w:pStyle w:val="Prrafodelista"/>
        <w:rPr>
          <w:rFonts w:cs="Arial"/>
          <w:bCs/>
          <w:sz w:val="24"/>
          <w:szCs w:val="24"/>
        </w:rPr>
      </w:pPr>
    </w:p>
    <w:p w:rsidR="00A96C44" w:rsidRDefault="0095135C" w:rsidP="00A96C44">
      <w:pPr>
        <w:pStyle w:val="Textoindependiente"/>
        <w:numPr>
          <w:ilvl w:val="0"/>
          <w:numId w:val="9"/>
        </w:numPr>
        <w:spacing w:line="276" w:lineRule="auto"/>
        <w:rPr>
          <w:rFonts w:cs="Arial"/>
          <w:bCs/>
          <w:sz w:val="24"/>
          <w:szCs w:val="24"/>
        </w:rPr>
      </w:pPr>
      <w:r w:rsidRPr="00A96C44">
        <w:rPr>
          <w:rFonts w:cs="Arial"/>
          <w:bCs/>
          <w:sz w:val="24"/>
          <w:szCs w:val="24"/>
        </w:rPr>
        <w:t xml:space="preserve">Que el Consejo General aprobó por unanimidad de votos, el proyecto Presupuesto de Egresos del Instituto Chihuahuense para la Transparencia y Acceso a la Información Pública, el día </w:t>
      </w:r>
      <w:r w:rsidR="00D779C4">
        <w:rPr>
          <w:rFonts w:cs="Arial"/>
          <w:bCs/>
          <w:sz w:val="24"/>
          <w:szCs w:val="24"/>
        </w:rPr>
        <w:t>14</w:t>
      </w:r>
      <w:r w:rsidRPr="00A96C44">
        <w:rPr>
          <w:rFonts w:cs="Arial"/>
          <w:bCs/>
          <w:sz w:val="24"/>
          <w:szCs w:val="24"/>
        </w:rPr>
        <w:t xml:space="preserve"> de octubre del </w:t>
      </w:r>
      <w:r w:rsidR="00A96C44" w:rsidRPr="00A96C44">
        <w:rPr>
          <w:rFonts w:cs="Arial"/>
          <w:bCs/>
          <w:sz w:val="24"/>
          <w:szCs w:val="24"/>
        </w:rPr>
        <w:t>2021</w:t>
      </w:r>
      <w:r w:rsidRPr="00A96C44">
        <w:rPr>
          <w:rFonts w:cs="Arial"/>
          <w:bCs/>
          <w:sz w:val="24"/>
          <w:szCs w:val="24"/>
        </w:rPr>
        <w:t xml:space="preserve">, </w:t>
      </w:r>
      <w:r w:rsidR="00A96C44" w:rsidRPr="00A96C44">
        <w:rPr>
          <w:rFonts w:cs="Arial"/>
          <w:bCs/>
          <w:sz w:val="24"/>
          <w:szCs w:val="24"/>
        </w:rPr>
        <w:t xml:space="preserve">mismo </w:t>
      </w:r>
      <w:r w:rsidR="00A96C44" w:rsidRPr="00A96C44">
        <w:rPr>
          <w:rFonts w:cs="Arial"/>
          <w:bCs/>
          <w:sz w:val="24"/>
          <w:szCs w:val="24"/>
        </w:rPr>
        <w:lastRenderedPageBreak/>
        <w:t>que fue modificado por la Sexagésima Séptima Legislatura del H. Congreso del Estado de Chihuahua, mediante el Decreto N° LXVII/APPEE/0179/2021 I P.O. al aprobar el Presupuesto de Egresos del Estado de Chihuahua, para el Ejercicio Fiscal del año 2022, mismo que se publicó en el Periódico Oficial del Estado N° 104, correspondiente al día 29 de diciembre del año 2021</w:t>
      </w:r>
      <w:r w:rsidRPr="00A96C44">
        <w:rPr>
          <w:rFonts w:cs="Arial"/>
          <w:bCs/>
          <w:sz w:val="24"/>
          <w:szCs w:val="24"/>
        </w:rPr>
        <w:t>.</w:t>
      </w:r>
    </w:p>
    <w:p w:rsidR="00A96C44" w:rsidRDefault="00A96C44" w:rsidP="00A96C44">
      <w:pPr>
        <w:pStyle w:val="Prrafodelista"/>
        <w:rPr>
          <w:rFonts w:ascii="Arial Narrow" w:hAnsi="Arial Narrow" w:cs="Arial"/>
          <w:bCs/>
          <w:sz w:val="26"/>
          <w:szCs w:val="26"/>
        </w:rPr>
      </w:pPr>
    </w:p>
    <w:p w:rsidR="00A96C44" w:rsidRPr="00A96C44" w:rsidRDefault="00A96C44" w:rsidP="00A96C44">
      <w:pPr>
        <w:pStyle w:val="Textoindependiente"/>
        <w:numPr>
          <w:ilvl w:val="0"/>
          <w:numId w:val="9"/>
        </w:numPr>
        <w:spacing w:line="276" w:lineRule="auto"/>
        <w:rPr>
          <w:rFonts w:cs="Arial"/>
          <w:bCs/>
          <w:sz w:val="24"/>
          <w:szCs w:val="24"/>
        </w:rPr>
      </w:pPr>
      <w:r w:rsidRPr="00A96C44">
        <w:rPr>
          <w:rFonts w:cs="Arial"/>
          <w:bCs/>
          <w:sz w:val="24"/>
          <w:szCs w:val="24"/>
        </w:rPr>
        <w:t>Que derivado de la modificación al Presupuesto de Egresos presentado por el Pleno del Instituto ante el H. Congreso del Estado, el Consejo General aprobó por unanimidad de votos, el reajuste al Presupuesto de Egresos del Instituto Chihuahuense para la Transparencia y Acceso a la Información Pública para el ejercicio fiscal 2022, el día 26 de enero de 2022, mismo que se publicó en el Periódico Oficial del Estado N° 10, correspondiente al día 02 de febrero del año 2022.</w:t>
      </w:r>
    </w:p>
    <w:p w:rsidR="0095135C" w:rsidRPr="004F1F0E" w:rsidRDefault="0095135C" w:rsidP="00A96C44">
      <w:pPr>
        <w:pStyle w:val="Textoindependiente"/>
        <w:spacing w:line="276" w:lineRule="auto"/>
        <w:rPr>
          <w:rFonts w:cs="Arial"/>
          <w:bCs/>
          <w:sz w:val="24"/>
          <w:szCs w:val="24"/>
        </w:rPr>
      </w:pPr>
    </w:p>
    <w:p w:rsidR="00A96C44" w:rsidRDefault="0095135C" w:rsidP="00A96C44">
      <w:pPr>
        <w:pStyle w:val="Textoindependiente"/>
        <w:numPr>
          <w:ilvl w:val="0"/>
          <w:numId w:val="9"/>
        </w:numPr>
        <w:spacing w:line="276" w:lineRule="auto"/>
        <w:rPr>
          <w:rFonts w:cs="Arial"/>
          <w:bCs/>
          <w:sz w:val="24"/>
          <w:szCs w:val="24"/>
        </w:rPr>
      </w:pPr>
      <w:r w:rsidRPr="004F1F0E">
        <w:rPr>
          <w:rFonts w:cs="Arial"/>
          <w:bCs/>
          <w:sz w:val="24"/>
          <w:szCs w:val="24"/>
        </w:rPr>
        <w:t>Que en el Presupuesto de Egresos del Instituto Chihuahuense para la Transparencia y Acceso a la Información Pública, para el Ejercicio Presupuestal 20</w:t>
      </w:r>
      <w:r w:rsidR="00A96C44">
        <w:rPr>
          <w:rFonts w:cs="Arial"/>
          <w:bCs/>
          <w:sz w:val="24"/>
          <w:szCs w:val="24"/>
        </w:rPr>
        <w:t>21</w:t>
      </w:r>
      <w:r w:rsidRPr="004F1F0E">
        <w:rPr>
          <w:rFonts w:cs="Arial"/>
          <w:bCs/>
          <w:sz w:val="24"/>
          <w:szCs w:val="24"/>
        </w:rPr>
        <w:t xml:space="preserve">, se establecieron los previsiones presupuestales necesarias, para la renovación parcial del parque vehicular, estimándose erogar </w:t>
      </w:r>
      <w:r w:rsidR="004D3007" w:rsidRPr="004F1F0E">
        <w:rPr>
          <w:rFonts w:cs="Arial"/>
          <w:bCs/>
          <w:sz w:val="24"/>
          <w:szCs w:val="24"/>
        </w:rPr>
        <w:t>en</w:t>
      </w:r>
      <w:r w:rsidRPr="004F1F0E">
        <w:rPr>
          <w:rFonts w:cs="Arial"/>
          <w:bCs/>
          <w:sz w:val="24"/>
          <w:szCs w:val="24"/>
        </w:rPr>
        <w:t xml:space="preserve"> el presente año, la cantidad de </w:t>
      </w:r>
      <w:r w:rsidR="004D3007" w:rsidRPr="004F1F0E">
        <w:rPr>
          <w:rFonts w:cs="Arial"/>
          <w:bCs/>
          <w:sz w:val="24"/>
          <w:szCs w:val="24"/>
        </w:rPr>
        <w:t>$</w:t>
      </w:r>
      <w:r w:rsidR="00D779C4">
        <w:rPr>
          <w:rFonts w:cs="Arial"/>
          <w:bCs/>
          <w:sz w:val="24"/>
          <w:szCs w:val="24"/>
        </w:rPr>
        <w:t xml:space="preserve">990,000.00 </w:t>
      </w:r>
      <w:r w:rsidR="004D3007" w:rsidRPr="004F1F0E">
        <w:rPr>
          <w:rFonts w:cs="Arial"/>
          <w:bCs/>
          <w:sz w:val="24"/>
          <w:szCs w:val="24"/>
        </w:rPr>
        <w:t>(</w:t>
      </w:r>
      <w:r w:rsidR="00D779C4">
        <w:rPr>
          <w:rFonts w:cs="Arial"/>
          <w:bCs/>
          <w:sz w:val="24"/>
          <w:szCs w:val="24"/>
        </w:rPr>
        <w:t xml:space="preserve">Novecientos noventa mil </w:t>
      </w:r>
      <w:r w:rsidR="004D3007" w:rsidRPr="004F1F0E">
        <w:rPr>
          <w:rFonts w:cs="Arial"/>
          <w:bCs/>
          <w:sz w:val="24"/>
          <w:szCs w:val="24"/>
        </w:rPr>
        <w:t>pesos 00/100 M.N.)</w:t>
      </w:r>
      <w:r w:rsidRPr="004F1F0E">
        <w:rPr>
          <w:rFonts w:cs="Arial"/>
          <w:bCs/>
          <w:sz w:val="24"/>
          <w:szCs w:val="24"/>
        </w:rPr>
        <w:t xml:space="preserve"> cantidad que permitirá</w:t>
      </w:r>
      <w:r w:rsidR="004D3007" w:rsidRPr="004F1F0E">
        <w:rPr>
          <w:rFonts w:cs="Arial"/>
          <w:bCs/>
          <w:sz w:val="24"/>
          <w:szCs w:val="24"/>
        </w:rPr>
        <w:t>,</w:t>
      </w:r>
      <w:r w:rsidRPr="004F1F0E">
        <w:rPr>
          <w:rFonts w:cs="Arial"/>
          <w:bCs/>
          <w:sz w:val="24"/>
          <w:szCs w:val="24"/>
        </w:rPr>
        <w:t xml:space="preserve"> se estima la adquisición de </w:t>
      </w:r>
      <w:r w:rsidR="00D779C4">
        <w:rPr>
          <w:rFonts w:cs="Arial"/>
          <w:bCs/>
          <w:sz w:val="24"/>
          <w:szCs w:val="24"/>
        </w:rPr>
        <w:t xml:space="preserve">3 </w:t>
      </w:r>
      <w:r w:rsidRPr="004F1F0E">
        <w:rPr>
          <w:rFonts w:cs="Arial"/>
          <w:bCs/>
          <w:sz w:val="24"/>
          <w:szCs w:val="24"/>
        </w:rPr>
        <w:t>vehículos utilitarios para atender</w:t>
      </w:r>
      <w:r w:rsidR="001F73A8">
        <w:rPr>
          <w:rFonts w:cs="Arial"/>
          <w:bCs/>
          <w:sz w:val="24"/>
          <w:szCs w:val="24"/>
        </w:rPr>
        <w:t xml:space="preserve"> las necesidades del  organismo, o incluso 4 vehículos considerando el monto que se pudiera obtener por la enajenación de las desafectación y desincorporación de los 2 vehículos referidos en la fracción IX del presente acuerdo.</w:t>
      </w:r>
    </w:p>
    <w:p w:rsidR="00A96C44" w:rsidRDefault="00A96C44" w:rsidP="00A96C44">
      <w:pPr>
        <w:pStyle w:val="Prrafodelista"/>
        <w:rPr>
          <w:rFonts w:cs="Arial"/>
          <w:bCs/>
          <w:sz w:val="24"/>
          <w:szCs w:val="24"/>
        </w:rPr>
      </w:pPr>
    </w:p>
    <w:p w:rsidR="0095135C" w:rsidRDefault="00A96C44" w:rsidP="00A96C44">
      <w:pPr>
        <w:pStyle w:val="Textoindependiente"/>
        <w:numPr>
          <w:ilvl w:val="0"/>
          <w:numId w:val="9"/>
        </w:numPr>
        <w:spacing w:line="276" w:lineRule="auto"/>
        <w:rPr>
          <w:rFonts w:cs="Arial"/>
          <w:bCs/>
          <w:sz w:val="24"/>
          <w:szCs w:val="24"/>
        </w:rPr>
      </w:pPr>
      <w:r w:rsidRPr="00A96C44">
        <w:rPr>
          <w:rFonts w:cs="Arial"/>
          <w:bCs/>
          <w:sz w:val="24"/>
          <w:szCs w:val="24"/>
        </w:rPr>
        <w:t>Que el titular de la Dirección Administrativa del Instituto Chihuahuense para la Transparencia y Acceso a la Información Pública,  en ejercicio de sus  atribuciones conferidas en el artículo 16 fracción VIII del Reglamento Interno del Instituto, relativas a instrumentar y mantener actualizados los inventarios de bienes muebles e inmuebles y  hacer entrega del informe que contiene la relación de diversos bienes muebles que forman parte del patrimonio institucional de este Organismo Público Autónomo, presento para análisis el Dictamen de No Utilida</w:t>
      </w:r>
      <w:r w:rsidR="00CC7268">
        <w:rPr>
          <w:rFonts w:cs="Arial"/>
          <w:bCs/>
          <w:sz w:val="24"/>
          <w:szCs w:val="24"/>
        </w:rPr>
        <w:t>d identificado como DA/DNU-BM/02</w:t>
      </w:r>
      <w:r w:rsidRPr="00A96C44">
        <w:rPr>
          <w:rFonts w:cs="Arial"/>
          <w:bCs/>
          <w:sz w:val="24"/>
          <w:szCs w:val="24"/>
        </w:rPr>
        <w:t>/2022</w:t>
      </w:r>
      <w:r>
        <w:rPr>
          <w:rFonts w:cs="Arial"/>
          <w:bCs/>
          <w:sz w:val="24"/>
          <w:szCs w:val="24"/>
        </w:rPr>
        <w:t>.</w:t>
      </w:r>
    </w:p>
    <w:p w:rsidR="00CC7268" w:rsidRDefault="00CC7268" w:rsidP="00CC7268">
      <w:pPr>
        <w:pStyle w:val="Prrafodelista"/>
        <w:rPr>
          <w:rFonts w:cs="Arial"/>
          <w:bCs/>
          <w:sz w:val="24"/>
          <w:szCs w:val="24"/>
        </w:rPr>
      </w:pPr>
    </w:p>
    <w:p w:rsidR="00CC7268" w:rsidRDefault="00CC7268" w:rsidP="00A96C44">
      <w:pPr>
        <w:pStyle w:val="Textoindependiente"/>
        <w:numPr>
          <w:ilvl w:val="0"/>
          <w:numId w:val="9"/>
        </w:numPr>
        <w:spacing w:line="276" w:lineRule="auto"/>
        <w:rPr>
          <w:rFonts w:cs="Arial"/>
          <w:bCs/>
          <w:sz w:val="24"/>
          <w:szCs w:val="24"/>
        </w:rPr>
      </w:pPr>
      <w:r w:rsidRPr="00CB7FAC">
        <w:rPr>
          <w:rFonts w:cs="Arial"/>
          <w:bCs/>
          <w:sz w:val="24"/>
          <w:szCs w:val="24"/>
        </w:rPr>
        <w:t>Que en el Dict</w:t>
      </w:r>
      <w:r>
        <w:rPr>
          <w:rFonts w:cs="Arial"/>
          <w:bCs/>
          <w:sz w:val="24"/>
          <w:szCs w:val="24"/>
        </w:rPr>
        <w:t>amen de No Utilidad DA/DNU-BM/02</w:t>
      </w:r>
      <w:r w:rsidRPr="00CB7FAC">
        <w:rPr>
          <w:rFonts w:cs="Arial"/>
          <w:bCs/>
          <w:sz w:val="24"/>
          <w:szCs w:val="24"/>
        </w:rPr>
        <w:t xml:space="preserve">/2022, generado en términos de lo dispuesto en los artículos 4º fracción XX, 23º fracción II, 27º </w:t>
      </w:r>
      <w:r w:rsidRPr="00CB7FAC">
        <w:rPr>
          <w:rFonts w:cs="Arial"/>
          <w:bCs/>
          <w:sz w:val="24"/>
          <w:szCs w:val="24"/>
        </w:rPr>
        <w:lastRenderedPageBreak/>
        <w:t xml:space="preserve">y 28º de la Ley General de Contabilidad Gubernamental; artículos 88º, 89º y 95º de la Ley de Presupuesto de Egresos, Contabilidad Gubernamental y Gasto Público del Estado de Chihuahua; artículo 10º fracción I, II y III, 11º fracción I y 70º  de la Ley de Bienes del Estado de Chihuahua; artículo 16º fracción III, V y VI del Reglamento Interior del Instituto Chihuahuense para la Transparencia y Acceso a la Información Pública, así como del contenido en el documento denominado “Parámetros de Estimación de Vida Útil” emitido por el Consejo Nacional de Contabilidad Gubernamental (CONAC), se refirió que debido al desgaste y por el desperfecto de uno o más de los componentes de los </w:t>
      </w:r>
      <w:r w:rsidR="00D779C4">
        <w:rPr>
          <w:rFonts w:cs="Arial"/>
          <w:bCs/>
          <w:sz w:val="24"/>
          <w:szCs w:val="24"/>
        </w:rPr>
        <w:t>vehículos</w:t>
      </w:r>
      <w:r w:rsidRPr="00CB7FAC">
        <w:rPr>
          <w:rFonts w:cs="Arial"/>
          <w:bCs/>
          <w:sz w:val="24"/>
          <w:szCs w:val="24"/>
        </w:rPr>
        <w:t xml:space="preserve"> ahí enunciados, al mal estado físico originado por su constante uso, así como a la depreciación acumulada por la fecha de adquisición, estos bienes muebles han dejado de ser útiles y que por las condiciones en que se encuentran tampoco es rentable su reparación.</w:t>
      </w:r>
    </w:p>
    <w:p w:rsidR="00A96C44" w:rsidRPr="00A96C44" w:rsidRDefault="00A96C44" w:rsidP="00A96C44">
      <w:pPr>
        <w:pStyle w:val="Textoindependiente"/>
        <w:spacing w:line="276" w:lineRule="auto"/>
        <w:rPr>
          <w:rFonts w:cs="Arial"/>
          <w:bCs/>
          <w:sz w:val="24"/>
          <w:szCs w:val="24"/>
        </w:rPr>
      </w:pPr>
    </w:p>
    <w:p w:rsidR="004D3007" w:rsidRPr="00A526B5" w:rsidRDefault="0095135C" w:rsidP="00A526B5">
      <w:pPr>
        <w:pStyle w:val="Textoindependiente"/>
        <w:numPr>
          <w:ilvl w:val="0"/>
          <w:numId w:val="9"/>
        </w:numPr>
        <w:spacing w:line="276" w:lineRule="auto"/>
        <w:rPr>
          <w:rFonts w:cs="Arial"/>
          <w:bCs/>
          <w:sz w:val="24"/>
          <w:szCs w:val="24"/>
        </w:rPr>
      </w:pPr>
      <w:r w:rsidRPr="004F1F0E">
        <w:rPr>
          <w:rFonts w:cs="Arial"/>
          <w:bCs/>
          <w:sz w:val="24"/>
          <w:szCs w:val="24"/>
        </w:rPr>
        <w:t xml:space="preserve">Por lo anterior, con la finalidad de obtener mayores recursos y buscar adquirir </w:t>
      </w:r>
      <w:r w:rsidR="00E36E94" w:rsidRPr="004F1F0E">
        <w:rPr>
          <w:rFonts w:cs="Arial"/>
          <w:bCs/>
          <w:sz w:val="24"/>
          <w:szCs w:val="24"/>
        </w:rPr>
        <w:t xml:space="preserve">directamente con los proveedores interesados cuando menos un vehículo nuevo adicional, se pretende que el Consejo General del Instituto, autorice la enajenación de </w:t>
      </w:r>
      <w:r w:rsidR="00113C21" w:rsidRPr="004F1F0E">
        <w:rPr>
          <w:rFonts w:cs="Arial"/>
          <w:bCs/>
          <w:sz w:val="24"/>
          <w:szCs w:val="24"/>
        </w:rPr>
        <w:t xml:space="preserve">los </w:t>
      </w:r>
      <w:r w:rsidR="00CC7268">
        <w:rPr>
          <w:rFonts w:cs="Arial"/>
          <w:bCs/>
          <w:sz w:val="24"/>
          <w:szCs w:val="24"/>
        </w:rPr>
        <w:t xml:space="preserve">dos </w:t>
      </w:r>
      <w:r w:rsidR="00E36E94" w:rsidRPr="0021753F">
        <w:rPr>
          <w:rFonts w:cs="Arial"/>
          <w:bCs/>
          <w:sz w:val="24"/>
          <w:szCs w:val="24"/>
        </w:rPr>
        <w:t>vehículos</w:t>
      </w:r>
      <w:r w:rsidR="00113C21" w:rsidRPr="004F1F0E">
        <w:rPr>
          <w:rFonts w:cs="Arial"/>
          <w:bCs/>
          <w:sz w:val="24"/>
          <w:szCs w:val="24"/>
        </w:rPr>
        <w:t>, propiedad del organismo que a continuación de describen</w:t>
      </w:r>
      <w:r w:rsidR="004D3007" w:rsidRPr="004F1F0E">
        <w:rPr>
          <w:rFonts w:cs="Arial"/>
          <w:bCs/>
          <w:sz w:val="24"/>
          <w:szCs w:val="24"/>
        </w:rPr>
        <w:t>:</w:t>
      </w:r>
    </w:p>
    <w:tbl>
      <w:tblPr>
        <w:tblStyle w:val="Tablaconcuadrcula"/>
        <w:tblW w:w="0" w:type="auto"/>
        <w:tblInd w:w="817" w:type="dxa"/>
        <w:tblLook w:val="04A0" w:firstRow="1" w:lastRow="0" w:firstColumn="1" w:lastColumn="0" w:noHBand="0" w:noVBand="1"/>
      </w:tblPr>
      <w:tblGrid>
        <w:gridCol w:w="1274"/>
        <w:gridCol w:w="1221"/>
        <w:gridCol w:w="1151"/>
        <w:gridCol w:w="951"/>
        <w:gridCol w:w="1829"/>
        <w:gridCol w:w="1002"/>
        <w:gridCol w:w="809"/>
      </w:tblGrid>
      <w:tr w:rsidR="00606CF9" w:rsidTr="000D4C6B">
        <w:tc>
          <w:tcPr>
            <w:tcW w:w="1274"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CLAVE DE INVENTARIO</w:t>
            </w:r>
          </w:p>
        </w:tc>
        <w:tc>
          <w:tcPr>
            <w:tcW w:w="1224"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AUTOMOVIL</w:t>
            </w:r>
          </w:p>
        </w:tc>
        <w:tc>
          <w:tcPr>
            <w:tcW w:w="1155"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MARCA</w:t>
            </w:r>
          </w:p>
        </w:tc>
        <w:tc>
          <w:tcPr>
            <w:tcW w:w="952"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MODELO</w:t>
            </w:r>
          </w:p>
        </w:tc>
        <w:tc>
          <w:tcPr>
            <w:tcW w:w="1831"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No. SERIE</w:t>
            </w:r>
          </w:p>
        </w:tc>
        <w:tc>
          <w:tcPr>
            <w:tcW w:w="1009"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PLACAS</w:t>
            </w:r>
          </w:p>
        </w:tc>
        <w:tc>
          <w:tcPr>
            <w:tcW w:w="635"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KMS</w:t>
            </w:r>
          </w:p>
        </w:tc>
      </w:tr>
      <w:tr w:rsidR="00606CF9" w:rsidTr="000D4C6B">
        <w:tc>
          <w:tcPr>
            <w:tcW w:w="1274"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ICHITAIP0876</w:t>
            </w:r>
          </w:p>
        </w:tc>
        <w:tc>
          <w:tcPr>
            <w:tcW w:w="1224"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Malibú Blanco</w:t>
            </w:r>
          </w:p>
        </w:tc>
        <w:tc>
          <w:tcPr>
            <w:tcW w:w="1155"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Chevrolet</w:t>
            </w:r>
          </w:p>
        </w:tc>
        <w:tc>
          <w:tcPr>
            <w:tcW w:w="952"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2007</w:t>
            </w:r>
          </w:p>
        </w:tc>
        <w:tc>
          <w:tcPr>
            <w:tcW w:w="1831" w:type="dxa"/>
            <w:vAlign w:val="bottom"/>
          </w:tcPr>
          <w:p w:rsidR="00606CF9" w:rsidRDefault="00606CF9" w:rsidP="000D4C6B">
            <w:pPr>
              <w:jc w:val="center"/>
              <w:rPr>
                <w:rFonts w:ascii="Calibri" w:hAnsi="Calibri" w:cs="Calibri"/>
                <w:color w:val="000000"/>
                <w:sz w:val="16"/>
                <w:szCs w:val="16"/>
              </w:rPr>
            </w:pPr>
            <w:r>
              <w:rPr>
                <w:rFonts w:ascii="Calibri" w:hAnsi="Calibri" w:cs="Calibri"/>
                <w:color w:val="000000"/>
                <w:sz w:val="16"/>
                <w:szCs w:val="16"/>
              </w:rPr>
              <w:t>1G1ZT58N47F270523</w:t>
            </w:r>
          </w:p>
          <w:p w:rsidR="00606CF9" w:rsidRPr="006E7CBA" w:rsidRDefault="00606CF9" w:rsidP="000D4C6B">
            <w:pPr>
              <w:spacing w:line="360" w:lineRule="auto"/>
              <w:jc w:val="center"/>
              <w:rPr>
                <w:rFonts w:ascii="Arial Narrow" w:hAnsi="Arial Narrow" w:cs="Arial"/>
                <w:sz w:val="20"/>
                <w:szCs w:val="20"/>
                <w:lang w:val="es-ES"/>
              </w:rPr>
            </w:pPr>
          </w:p>
        </w:tc>
        <w:tc>
          <w:tcPr>
            <w:tcW w:w="1009" w:type="dxa"/>
          </w:tcPr>
          <w:p w:rsidR="00606CF9" w:rsidRPr="006E7CBA" w:rsidRDefault="00606CF9" w:rsidP="000D4C6B">
            <w:pPr>
              <w:spacing w:line="360" w:lineRule="auto"/>
              <w:jc w:val="both"/>
              <w:rPr>
                <w:rFonts w:ascii="Arial Narrow" w:hAnsi="Arial Narrow" w:cs="Arial"/>
                <w:sz w:val="20"/>
                <w:szCs w:val="20"/>
                <w:lang w:val="es-ES"/>
              </w:rPr>
            </w:pPr>
            <w:r>
              <w:rPr>
                <w:rFonts w:ascii="Arial Narrow" w:hAnsi="Arial Narrow" w:cs="Arial"/>
                <w:sz w:val="20"/>
                <w:szCs w:val="20"/>
                <w:lang w:val="es-ES"/>
              </w:rPr>
              <w:t>ELM2083</w:t>
            </w:r>
          </w:p>
        </w:tc>
        <w:tc>
          <w:tcPr>
            <w:tcW w:w="635" w:type="dxa"/>
          </w:tcPr>
          <w:p w:rsidR="00606CF9" w:rsidRPr="006E7CBA" w:rsidRDefault="00606CF9" w:rsidP="000D4C6B">
            <w:pPr>
              <w:spacing w:line="360" w:lineRule="auto"/>
              <w:jc w:val="both"/>
              <w:rPr>
                <w:rFonts w:ascii="Arial Narrow" w:hAnsi="Arial Narrow" w:cs="Arial"/>
                <w:sz w:val="20"/>
                <w:szCs w:val="20"/>
                <w:lang w:val="es-ES"/>
              </w:rPr>
            </w:pPr>
            <w:r>
              <w:rPr>
                <w:rFonts w:ascii="Arial Narrow" w:hAnsi="Arial Narrow" w:cs="Arial"/>
                <w:sz w:val="20"/>
                <w:szCs w:val="20"/>
                <w:lang w:val="es-ES"/>
              </w:rPr>
              <w:t>113,182</w:t>
            </w:r>
          </w:p>
        </w:tc>
      </w:tr>
      <w:tr w:rsidR="00606CF9" w:rsidTr="000D4C6B">
        <w:tc>
          <w:tcPr>
            <w:tcW w:w="1274"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ICHITAIP1162</w:t>
            </w:r>
          </w:p>
        </w:tc>
        <w:tc>
          <w:tcPr>
            <w:tcW w:w="1224"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Jetta Negro</w:t>
            </w:r>
          </w:p>
        </w:tc>
        <w:tc>
          <w:tcPr>
            <w:tcW w:w="1155"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Volkswagen</w:t>
            </w:r>
          </w:p>
        </w:tc>
        <w:tc>
          <w:tcPr>
            <w:tcW w:w="952"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2011</w:t>
            </w:r>
          </w:p>
        </w:tc>
        <w:tc>
          <w:tcPr>
            <w:tcW w:w="1831" w:type="dxa"/>
          </w:tcPr>
          <w:p w:rsidR="00606CF9" w:rsidRDefault="00606CF9" w:rsidP="000D4C6B">
            <w:pPr>
              <w:jc w:val="both"/>
              <w:rPr>
                <w:rFonts w:ascii="Calibri" w:hAnsi="Calibri" w:cs="Calibri"/>
                <w:color w:val="000000"/>
                <w:sz w:val="16"/>
                <w:szCs w:val="16"/>
              </w:rPr>
            </w:pPr>
            <w:r>
              <w:rPr>
                <w:rFonts w:ascii="Calibri" w:hAnsi="Calibri" w:cs="Calibri"/>
                <w:color w:val="000000"/>
                <w:sz w:val="16"/>
                <w:szCs w:val="16"/>
              </w:rPr>
              <w:t>3VWDV09M9BM045492</w:t>
            </w:r>
          </w:p>
          <w:p w:rsidR="00606CF9" w:rsidRPr="006E7CBA" w:rsidRDefault="00606CF9" w:rsidP="000D4C6B">
            <w:pPr>
              <w:spacing w:line="360" w:lineRule="auto"/>
              <w:jc w:val="both"/>
              <w:rPr>
                <w:rFonts w:ascii="Arial Narrow" w:hAnsi="Arial Narrow" w:cs="Arial"/>
                <w:sz w:val="20"/>
                <w:szCs w:val="20"/>
                <w:lang w:val="es-ES"/>
              </w:rPr>
            </w:pPr>
          </w:p>
        </w:tc>
        <w:tc>
          <w:tcPr>
            <w:tcW w:w="1009" w:type="dxa"/>
          </w:tcPr>
          <w:p w:rsidR="00606CF9" w:rsidRPr="006E7CBA" w:rsidRDefault="00606CF9" w:rsidP="000D4C6B">
            <w:pPr>
              <w:spacing w:line="360" w:lineRule="auto"/>
              <w:jc w:val="both"/>
              <w:rPr>
                <w:rFonts w:ascii="Arial Narrow" w:hAnsi="Arial Narrow" w:cs="Arial"/>
                <w:sz w:val="20"/>
                <w:szCs w:val="20"/>
                <w:lang w:val="es-ES"/>
              </w:rPr>
            </w:pPr>
            <w:r>
              <w:rPr>
                <w:rFonts w:ascii="Arial Narrow" w:hAnsi="Arial Narrow" w:cs="Arial"/>
                <w:sz w:val="20"/>
                <w:szCs w:val="20"/>
                <w:lang w:val="es-ES"/>
              </w:rPr>
              <w:t>ELM2078</w:t>
            </w:r>
          </w:p>
        </w:tc>
        <w:tc>
          <w:tcPr>
            <w:tcW w:w="635" w:type="dxa"/>
          </w:tcPr>
          <w:p w:rsidR="00606CF9" w:rsidRPr="006E7CBA" w:rsidRDefault="00606CF9" w:rsidP="000D4C6B">
            <w:pPr>
              <w:spacing w:line="360" w:lineRule="auto"/>
              <w:jc w:val="both"/>
              <w:rPr>
                <w:rFonts w:ascii="Arial Narrow" w:hAnsi="Arial Narrow" w:cs="Arial"/>
                <w:sz w:val="20"/>
                <w:szCs w:val="20"/>
                <w:lang w:val="es-ES"/>
              </w:rPr>
            </w:pPr>
            <w:r>
              <w:rPr>
                <w:rFonts w:ascii="Arial Narrow" w:hAnsi="Arial Narrow" w:cs="Arial"/>
                <w:sz w:val="20"/>
                <w:szCs w:val="20"/>
                <w:lang w:val="es-ES"/>
              </w:rPr>
              <w:t>371,104</w:t>
            </w:r>
          </w:p>
        </w:tc>
      </w:tr>
    </w:tbl>
    <w:p w:rsidR="004F1F0E" w:rsidRDefault="004F1F0E" w:rsidP="00BC35B5">
      <w:pPr>
        <w:pStyle w:val="Textoindependiente"/>
        <w:spacing w:line="276" w:lineRule="auto"/>
        <w:ind w:left="709"/>
        <w:rPr>
          <w:rFonts w:cs="Arial"/>
          <w:bCs/>
          <w:sz w:val="26"/>
          <w:szCs w:val="26"/>
          <w:lang w:val="es-MX"/>
        </w:rPr>
      </w:pPr>
    </w:p>
    <w:p w:rsidR="00E36E94" w:rsidRPr="005D4734" w:rsidRDefault="004D3007" w:rsidP="005D4734">
      <w:pPr>
        <w:pStyle w:val="Textoindependiente"/>
        <w:spacing w:line="276" w:lineRule="auto"/>
        <w:ind w:left="720" w:hanging="11"/>
        <w:rPr>
          <w:rFonts w:cs="Arial"/>
          <w:bCs/>
          <w:sz w:val="24"/>
          <w:szCs w:val="24"/>
        </w:rPr>
      </w:pPr>
      <w:r w:rsidRPr="004F1F0E">
        <w:rPr>
          <w:rFonts w:cs="Arial"/>
          <w:bCs/>
          <w:sz w:val="24"/>
          <w:szCs w:val="24"/>
          <w:lang w:val="es-MX"/>
        </w:rPr>
        <w:t xml:space="preserve">Vehículos </w:t>
      </w:r>
      <w:r w:rsidR="00E36E94" w:rsidRPr="004F1F0E">
        <w:rPr>
          <w:rFonts w:cs="Arial"/>
          <w:bCs/>
          <w:sz w:val="24"/>
          <w:szCs w:val="24"/>
        </w:rPr>
        <w:t xml:space="preserve">que por su año de adquisición, uso, condiciones físicas y </w:t>
      </w:r>
      <w:r w:rsidR="00113C21" w:rsidRPr="004F1F0E">
        <w:rPr>
          <w:rFonts w:cs="Arial"/>
          <w:bCs/>
          <w:sz w:val="24"/>
          <w:szCs w:val="24"/>
        </w:rPr>
        <w:t>mecánicas en que se encuentran, son inutilizados por el personal del organismo, resultando incosteable su reparación</w:t>
      </w:r>
      <w:r w:rsidR="004F1F0E" w:rsidRPr="004F1F0E">
        <w:rPr>
          <w:rFonts w:cs="Arial"/>
          <w:bCs/>
          <w:sz w:val="24"/>
          <w:szCs w:val="24"/>
        </w:rPr>
        <w:t xml:space="preserve"> y aseguramiento</w:t>
      </w:r>
      <w:r w:rsidR="00113C21" w:rsidRPr="004F1F0E">
        <w:rPr>
          <w:rFonts w:cs="Arial"/>
          <w:bCs/>
          <w:sz w:val="24"/>
          <w:szCs w:val="24"/>
        </w:rPr>
        <w:t>, sin embargo</w:t>
      </w:r>
      <w:r w:rsidR="004F1F0E" w:rsidRPr="004F1F0E">
        <w:rPr>
          <w:rFonts w:cs="Arial"/>
          <w:bCs/>
          <w:sz w:val="24"/>
          <w:szCs w:val="24"/>
        </w:rPr>
        <w:t>,</w:t>
      </w:r>
      <w:r w:rsidR="00113C21" w:rsidRPr="004F1F0E">
        <w:rPr>
          <w:rFonts w:cs="Arial"/>
          <w:bCs/>
          <w:sz w:val="24"/>
          <w:szCs w:val="24"/>
        </w:rPr>
        <w:t xml:space="preserve"> se </w:t>
      </w:r>
      <w:r w:rsidR="004F1F0E" w:rsidRPr="004F1F0E">
        <w:rPr>
          <w:rFonts w:cs="Arial"/>
          <w:bCs/>
          <w:sz w:val="24"/>
          <w:szCs w:val="24"/>
        </w:rPr>
        <w:t xml:space="preserve">prevé </w:t>
      </w:r>
      <w:r w:rsidR="00113C21" w:rsidRPr="004F1F0E">
        <w:rPr>
          <w:rFonts w:cs="Arial"/>
          <w:bCs/>
          <w:sz w:val="24"/>
          <w:szCs w:val="24"/>
        </w:rPr>
        <w:t xml:space="preserve">que </w:t>
      </w:r>
      <w:r w:rsidRPr="004F1F0E">
        <w:rPr>
          <w:rFonts w:cs="Arial"/>
          <w:bCs/>
          <w:sz w:val="24"/>
          <w:szCs w:val="24"/>
        </w:rPr>
        <w:t xml:space="preserve">podrán </w:t>
      </w:r>
      <w:r w:rsidR="00E36E94" w:rsidRPr="004F1F0E">
        <w:rPr>
          <w:rFonts w:cs="Arial"/>
          <w:bCs/>
          <w:sz w:val="24"/>
          <w:szCs w:val="24"/>
        </w:rPr>
        <w:t xml:space="preserve">ser </w:t>
      </w:r>
      <w:r w:rsidR="004F1F0E" w:rsidRPr="004F1F0E">
        <w:rPr>
          <w:rFonts w:cs="Arial"/>
          <w:bCs/>
          <w:sz w:val="24"/>
          <w:szCs w:val="24"/>
        </w:rPr>
        <w:t>adquiridos</w:t>
      </w:r>
      <w:r w:rsidR="00113C21" w:rsidRPr="004F1F0E">
        <w:rPr>
          <w:rFonts w:cs="Arial"/>
          <w:bCs/>
          <w:sz w:val="24"/>
          <w:szCs w:val="24"/>
        </w:rPr>
        <w:t xml:space="preserve"> de los proveedores interesado en la venta de las nuevas unidades antes mencionadas, a fin de que se tomen a cuenta en </w:t>
      </w:r>
      <w:r w:rsidR="004F1F0E" w:rsidRPr="004F1F0E">
        <w:rPr>
          <w:rFonts w:cs="Arial"/>
          <w:bCs/>
          <w:sz w:val="24"/>
          <w:szCs w:val="24"/>
        </w:rPr>
        <w:t>el procedimiento de licitación</w:t>
      </w:r>
      <w:r w:rsidR="00113C21" w:rsidRPr="004F1F0E">
        <w:rPr>
          <w:rFonts w:cs="Arial"/>
          <w:bCs/>
          <w:sz w:val="24"/>
          <w:szCs w:val="24"/>
        </w:rPr>
        <w:t>, o en</w:t>
      </w:r>
      <w:r w:rsidR="00E36E94" w:rsidRPr="004F1F0E">
        <w:rPr>
          <w:rFonts w:cs="Arial"/>
          <w:bCs/>
          <w:sz w:val="24"/>
          <w:szCs w:val="24"/>
        </w:rPr>
        <w:t xml:space="preserve"> su defecto,</w:t>
      </w:r>
      <w:r w:rsidR="00113C21" w:rsidRPr="004F1F0E">
        <w:rPr>
          <w:rFonts w:cs="Arial"/>
          <w:bCs/>
          <w:sz w:val="24"/>
          <w:szCs w:val="24"/>
        </w:rPr>
        <w:t xml:space="preserve"> de</w:t>
      </w:r>
      <w:r w:rsidR="00E36E94" w:rsidRPr="004F1F0E">
        <w:rPr>
          <w:rFonts w:cs="Arial"/>
          <w:bCs/>
          <w:sz w:val="24"/>
          <w:szCs w:val="24"/>
        </w:rPr>
        <w:t xml:space="preserve"> </w:t>
      </w:r>
      <w:r w:rsidR="00113C21" w:rsidRPr="004F1F0E">
        <w:rPr>
          <w:rFonts w:cs="Arial"/>
          <w:bCs/>
          <w:sz w:val="24"/>
          <w:szCs w:val="24"/>
        </w:rPr>
        <w:t xml:space="preserve">las personas físicas o morales mediante un </w:t>
      </w:r>
      <w:r w:rsidR="00E36E94" w:rsidRPr="004F1F0E">
        <w:rPr>
          <w:rFonts w:cs="Arial"/>
          <w:bCs/>
          <w:sz w:val="24"/>
          <w:szCs w:val="24"/>
        </w:rPr>
        <w:t xml:space="preserve">procedimiento de remate </w:t>
      </w:r>
      <w:r w:rsidR="00113C21" w:rsidRPr="004F1F0E">
        <w:rPr>
          <w:rFonts w:cs="Arial"/>
          <w:bCs/>
          <w:sz w:val="24"/>
          <w:szCs w:val="24"/>
        </w:rPr>
        <w:t>público</w:t>
      </w:r>
      <w:r w:rsidR="00E36E94" w:rsidRPr="004F1F0E">
        <w:rPr>
          <w:rFonts w:cs="Arial"/>
          <w:bCs/>
          <w:sz w:val="24"/>
          <w:szCs w:val="24"/>
        </w:rPr>
        <w:t xml:space="preserve">, previa realización de cuando menos dos avalúo comerciales que </w:t>
      </w:r>
      <w:r w:rsidR="00113C21" w:rsidRPr="004F1F0E">
        <w:rPr>
          <w:rFonts w:cs="Arial"/>
          <w:bCs/>
          <w:sz w:val="24"/>
          <w:szCs w:val="24"/>
        </w:rPr>
        <w:t xml:space="preserve">determinen </w:t>
      </w:r>
      <w:r w:rsidR="00E36E94" w:rsidRPr="004F1F0E">
        <w:rPr>
          <w:rFonts w:cs="Arial"/>
          <w:bCs/>
          <w:sz w:val="24"/>
          <w:szCs w:val="24"/>
        </w:rPr>
        <w:t>una base mínima de enajenación</w:t>
      </w:r>
      <w:r w:rsidR="004F1F0E" w:rsidRPr="004F1F0E">
        <w:rPr>
          <w:rFonts w:cs="Arial"/>
          <w:bCs/>
          <w:sz w:val="24"/>
          <w:szCs w:val="24"/>
        </w:rPr>
        <w:t xml:space="preserve"> que deberá realizar la Dirección de Administración de este Organismo</w:t>
      </w:r>
      <w:r w:rsidR="00E36E94" w:rsidRPr="004F1F0E">
        <w:rPr>
          <w:rFonts w:cs="Arial"/>
          <w:bCs/>
          <w:sz w:val="24"/>
          <w:szCs w:val="24"/>
        </w:rPr>
        <w:t>.</w:t>
      </w:r>
    </w:p>
    <w:p w:rsidR="0095135C" w:rsidRDefault="00E36E94" w:rsidP="00E36E94">
      <w:pPr>
        <w:pStyle w:val="Textoindependiente"/>
        <w:spacing w:line="276" w:lineRule="auto"/>
        <w:ind w:left="284"/>
        <w:rPr>
          <w:rFonts w:cs="Arial"/>
          <w:bCs/>
          <w:sz w:val="24"/>
          <w:szCs w:val="24"/>
        </w:rPr>
      </w:pPr>
      <w:r w:rsidRPr="004F1F0E">
        <w:rPr>
          <w:rFonts w:cs="Arial"/>
          <w:bCs/>
          <w:sz w:val="24"/>
          <w:szCs w:val="24"/>
        </w:rPr>
        <w:lastRenderedPageBreak/>
        <w:t xml:space="preserve">Por lo anterior, este Consejo General, con fundamento en los Artículos </w:t>
      </w:r>
      <w:r w:rsidR="00BC35B5" w:rsidRPr="004F1F0E">
        <w:rPr>
          <w:rFonts w:cs="Arial"/>
          <w:bCs/>
          <w:sz w:val="24"/>
          <w:szCs w:val="24"/>
        </w:rPr>
        <w:t>6°, Apartado A, último párrafo y 116, fracción VIII de la Constitución Política de los Estados Unidos Mexicanos; 4°, fracción II, de la Constitución Política del Estado de Chihuahua; 3 fracción XVI, 37 y 40</w:t>
      </w:r>
      <w:r w:rsidR="00BC35B5" w:rsidRPr="004F1F0E">
        <w:rPr>
          <w:rFonts w:eastAsia="Arial" w:cs="Arial"/>
          <w:sz w:val="24"/>
          <w:szCs w:val="24"/>
        </w:rPr>
        <w:t xml:space="preserve"> de la Ley General de Transparencia y Acceso a la Información Pública; 5 fracción XXV, 12, 14, 15, 17, 18 y 19 apartado B, fracción IX, incisos i) y m)</w:t>
      </w:r>
      <w:r w:rsidR="00BC35B5" w:rsidRPr="004F1F0E">
        <w:rPr>
          <w:rFonts w:eastAsia="Arial" w:cs="Arial"/>
          <w:sz w:val="24"/>
          <w:szCs w:val="24"/>
          <w:lang w:val="es-MX"/>
        </w:rPr>
        <w:t xml:space="preserve"> de la Ley de Transparencia y Acceso a la Información Pública del Estado de Chihuahua; 2, 3 fracción I, 7 fracción I, 8 y 9 fracción XIV del Reglamento Interior del Instituto Chihuahuense para la Transparencia y Acceso a la Información Pública, </w:t>
      </w:r>
      <w:r w:rsidRPr="004F1F0E">
        <w:rPr>
          <w:rFonts w:cs="Arial"/>
          <w:bCs/>
          <w:sz w:val="24"/>
          <w:szCs w:val="24"/>
        </w:rPr>
        <w:t>emite el siguiente:</w:t>
      </w:r>
    </w:p>
    <w:p w:rsidR="005D4734" w:rsidRPr="004F1F0E" w:rsidRDefault="005D4734" w:rsidP="00E36E94">
      <w:pPr>
        <w:pStyle w:val="Textoindependiente"/>
        <w:spacing w:line="276" w:lineRule="auto"/>
        <w:ind w:left="284"/>
        <w:rPr>
          <w:rFonts w:cs="Arial"/>
          <w:bCs/>
          <w:sz w:val="24"/>
          <w:szCs w:val="24"/>
        </w:rPr>
      </w:pPr>
    </w:p>
    <w:p w:rsidR="002A097D" w:rsidRPr="004F1F0E" w:rsidRDefault="002A097D" w:rsidP="0064210F">
      <w:pPr>
        <w:spacing w:before="120" w:after="120" w:line="360" w:lineRule="auto"/>
        <w:ind w:firstLine="5"/>
        <w:jc w:val="center"/>
        <w:rPr>
          <w:rFonts w:ascii="Arial" w:eastAsia="Arial" w:hAnsi="Arial" w:cs="Arial"/>
          <w:b/>
          <w:sz w:val="24"/>
          <w:szCs w:val="24"/>
          <w:lang w:val="es-MX"/>
        </w:rPr>
      </w:pPr>
      <w:r w:rsidRPr="004F1F0E">
        <w:rPr>
          <w:rFonts w:ascii="Arial" w:eastAsia="Arial" w:hAnsi="Arial" w:cs="Arial"/>
          <w:b/>
          <w:sz w:val="24"/>
          <w:szCs w:val="24"/>
          <w:lang w:val="es-MX"/>
        </w:rPr>
        <w:t>ACUERD</w:t>
      </w:r>
      <w:r w:rsidR="00FD7B92" w:rsidRPr="004F1F0E">
        <w:rPr>
          <w:rFonts w:ascii="Arial" w:eastAsia="Arial" w:hAnsi="Arial" w:cs="Arial"/>
          <w:b/>
          <w:sz w:val="24"/>
          <w:szCs w:val="24"/>
          <w:lang w:val="es-MX"/>
        </w:rPr>
        <w:t>O</w:t>
      </w:r>
    </w:p>
    <w:p w:rsidR="00916DF0" w:rsidRDefault="0057214A" w:rsidP="008979DC">
      <w:pPr>
        <w:spacing w:before="120" w:after="120"/>
        <w:ind w:firstLine="5"/>
        <w:jc w:val="both"/>
        <w:rPr>
          <w:rFonts w:ascii="Arial" w:eastAsia="Arial" w:hAnsi="Arial" w:cs="Arial"/>
          <w:sz w:val="24"/>
          <w:szCs w:val="24"/>
          <w:lang w:val="es-MX"/>
        </w:rPr>
      </w:pPr>
      <w:r w:rsidRPr="004F1F0E">
        <w:rPr>
          <w:rFonts w:ascii="Arial" w:eastAsia="Arial" w:hAnsi="Arial" w:cs="Arial"/>
          <w:b/>
          <w:sz w:val="24"/>
          <w:szCs w:val="24"/>
          <w:lang w:val="es-MX"/>
        </w:rPr>
        <w:t>PRIMERO</w:t>
      </w:r>
      <w:r w:rsidRPr="004F1F0E">
        <w:rPr>
          <w:rFonts w:ascii="Arial" w:eastAsia="Arial" w:hAnsi="Arial" w:cs="Arial"/>
          <w:sz w:val="24"/>
          <w:szCs w:val="24"/>
          <w:lang w:val="es-MX"/>
        </w:rPr>
        <w:t>.</w:t>
      </w:r>
      <w:r w:rsidR="005032DA" w:rsidRPr="004F1F0E">
        <w:rPr>
          <w:rFonts w:ascii="Arial" w:eastAsia="Arial" w:hAnsi="Arial" w:cs="Arial"/>
          <w:sz w:val="24"/>
          <w:szCs w:val="24"/>
          <w:lang w:val="es-MX"/>
        </w:rPr>
        <w:t xml:space="preserve"> </w:t>
      </w:r>
      <w:r w:rsidR="000D28BB" w:rsidRPr="004F1F0E">
        <w:rPr>
          <w:rFonts w:ascii="Arial" w:eastAsia="Arial" w:hAnsi="Arial" w:cs="Arial"/>
          <w:sz w:val="24"/>
          <w:szCs w:val="24"/>
          <w:lang w:val="es-MX"/>
        </w:rPr>
        <w:t xml:space="preserve">El Pleno de este Instituto Chihuahuense para la Transparencia y Acceso a la Información Pública, </w:t>
      </w:r>
      <w:r w:rsidR="00E36E94" w:rsidRPr="004F1F0E">
        <w:rPr>
          <w:rFonts w:ascii="Arial" w:eastAsia="Arial" w:hAnsi="Arial" w:cs="Arial"/>
          <w:sz w:val="24"/>
          <w:szCs w:val="24"/>
          <w:lang w:val="es-MX"/>
        </w:rPr>
        <w:t>autoriza la enajenación de los bienes que a continuación se describen:</w:t>
      </w:r>
    </w:p>
    <w:p w:rsidR="00C11929" w:rsidRDefault="00C11929" w:rsidP="008979DC">
      <w:pPr>
        <w:spacing w:before="120" w:after="120"/>
        <w:ind w:firstLine="5"/>
        <w:jc w:val="both"/>
        <w:rPr>
          <w:rFonts w:ascii="Arial" w:eastAsia="Arial" w:hAnsi="Arial" w:cs="Arial"/>
          <w:sz w:val="24"/>
          <w:szCs w:val="24"/>
          <w:lang w:val="es-MX"/>
        </w:rPr>
      </w:pPr>
    </w:p>
    <w:tbl>
      <w:tblPr>
        <w:tblStyle w:val="Tablaconcuadrcula"/>
        <w:tblW w:w="0" w:type="auto"/>
        <w:tblInd w:w="817" w:type="dxa"/>
        <w:tblLook w:val="04A0" w:firstRow="1" w:lastRow="0" w:firstColumn="1" w:lastColumn="0" w:noHBand="0" w:noVBand="1"/>
      </w:tblPr>
      <w:tblGrid>
        <w:gridCol w:w="1274"/>
        <w:gridCol w:w="1221"/>
        <w:gridCol w:w="1151"/>
        <w:gridCol w:w="951"/>
        <w:gridCol w:w="1829"/>
        <w:gridCol w:w="1002"/>
        <w:gridCol w:w="809"/>
      </w:tblGrid>
      <w:tr w:rsidR="00606CF9" w:rsidTr="000D4C6B">
        <w:tc>
          <w:tcPr>
            <w:tcW w:w="1274"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CLAVE DE INVENTARIO</w:t>
            </w:r>
          </w:p>
        </w:tc>
        <w:tc>
          <w:tcPr>
            <w:tcW w:w="1224"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AUTOMOVIL</w:t>
            </w:r>
          </w:p>
        </w:tc>
        <w:tc>
          <w:tcPr>
            <w:tcW w:w="1155"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MARCA</w:t>
            </w:r>
          </w:p>
        </w:tc>
        <w:tc>
          <w:tcPr>
            <w:tcW w:w="952"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MODELO</w:t>
            </w:r>
          </w:p>
        </w:tc>
        <w:tc>
          <w:tcPr>
            <w:tcW w:w="1831"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No. SERIE</w:t>
            </w:r>
          </w:p>
        </w:tc>
        <w:tc>
          <w:tcPr>
            <w:tcW w:w="1009"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PLACAS</w:t>
            </w:r>
          </w:p>
        </w:tc>
        <w:tc>
          <w:tcPr>
            <w:tcW w:w="635" w:type="dxa"/>
            <w:vAlign w:val="center"/>
          </w:tcPr>
          <w:p w:rsidR="00606CF9" w:rsidRPr="00DA3D62" w:rsidRDefault="00606CF9" w:rsidP="000D4C6B">
            <w:pPr>
              <w:spacing w:line="360" w:lineRule="auto"/>
              <w:jc w:val="center"/>
              <w:rPr>
                <w:rFonts w:ascii="Arial Narrow" w:hAnsi="Arial Narrow" w:cs="Arial"/>
                <w:b/>
                <w:sz w:val="20"/>
                <w:szCs w:val="20"/>
                <w:lang w:val="es-ES"/>
              </w:rPr>
            </w:pPr>
            <w:r w:rsidRPr="00DA3D62">
              <w:rPr>
                <w:rFonts w:ascii="Arial Narrow" w:hAnsi="Arial Narrow" w:cs="Arial"/>
                <w:b/>
                <w:sz w:val="20"/>
                <w:szCs w:val="20"/>
                <w:lang w:val="es-ES"/>
              </w:rPr>
              <w:t>KMS</w:t>
            </w:r>
          </w:p>
        </w:tc>
      </w:tr>
      <w:tr w:rsidR="00606CF9" w:rsidTr="000D4C6B">
        <w:tc>
          <w:tcPr>
            <w:tcW w:w="1274"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ICHITAIP0876</w:t>
            </w:r>
          </w:p>
        </w:tc>
        <w:tc>
          <w:tcPr>
            <w:tcW w:w="1224"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Malibú Blanco</w:t>
            </w:r>
          </w:p>
        </w:tc>
        <w:tc>
          <w:tcPr>
            <w:tcW w:w="1155"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Chevrolet</w:t>
            </w:r>
          </w:p>
        </w:tc>
        <w:tc>
          <w:tcPr>
            <w:tcW w:w="952"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2007</w:t>
            </w:r>
          </w:p>
        </w:tc>
        <w:tc>
          <w:tcPr>
            <w:tcW w:w="1831" w:type="dxa"/>
            <w:vAlign w:val="bottom"/>
          </w:tcPr>
          <w:p w:rsidR="00606CF9" w:rsidRDefault="00606CF9" w:rsidP="000D4C6B">
            <w:pPr>
              <w:jc w:val="center"/>
              <w:rPr>
                <w:rFonts w:ascii="Calibri" w:hAnsi="Calibri" w:cs="Calibri"/>
                <w:color w:val="000000"/>
                <w:sz w:val="16"/>
                <w:szCs w:val="16"/>
              </w:rPr>
            </w:pPr>
            <w:r>
              <w:rPr>
                <w:rFonts w:ascii="Calibri" w:hAnsi="Calibri" w:cs="Calibri"/>
                <w:color w:val="000000"/>
                <w:sz w:val="16"/>
                <w:szCs w:val="16"/>
              </w:rPr>
              <w:t>1G1ZT58N47F270523</w:t>
            </w:r>
          </w:p>
          <w:p w:rsidR="00606CF9" w:rsidRPr="006E7CBA" w:rsidRDefault="00606CF9" w:rsidP="000D4C6B">
            <w:pPr>
              <w:spacing w:line="360" w:lineRule="auto"/>
              <w:jc w:val="center"/>
              <w:rPr>
                <w:rFonts w:ascii="Arial Narrow" w:hAnsi="Arial Narrow" w:cs="Arial"/>
                <w:sz w:val="20"/>
                <w:szCs w:val="20"/>
                <w:lang w:val="es-ES"/>
              </w:rPr>
            </w:pPr>
          </w:p>
        </w:tc>
        <w:tc>
          <w:tcPr>
            <w:tcW w:w="1009" w:type="dxa"/>
          </w:tcPr>
          <w:p w:rsidR="00606CF9" w:rsidRPr="006E7CBA" w:rsidRDefault="00606CF9" w:rsidP="000D4C6B">
            <w:pPr>
              <w:spacing w:line="360" w:lineRule="auto"/>
              <w:jc w:val="both"/>
              <w:rPr>
                <w:rFonts w:ascii="Arial Narrow" w:hAnsi="Arial Narrow" w:cs="Arial"/>
                <w:sz w:val="20"/>
                <w:szCs w:val="20"/>
                <w:lang w:val="es-ES"/>
              </w:rPr>
            </w:pPr>
            <w:r>
              <w:rPr>
                <w:rFonts w:ascii="Arial Narrow" w:hAnsi="Arial Narrow" w:cs="Arial"/>
                <w:sz w:val="20"/>
                <w:szCs w:val="20"/>
                <w:lang w:val="es-ES"/>
              </w:rPr>
              <w:t>ELM2083</w:t>
            </w:r>
          </w:p>
        </w:tc>
        <w:tc>
          <w:tcPr>
            <w:tcW w:w="635" w:type="dxa"/>
          </w:tcPr>
          <w:p w:rsidR="00606CF9" w:rsidRPr="006E7CBA" w:rsidRDefault="00606CF9" w:rsidP="000D4C6B">
            <w:pPr>
              <w:spacing w:line="360" w:lineRule="auto"/>
              <w:jc w:val="both"/>
              <w:rPr>
                <w:rFonts w:ascii="Arial Narrow" w:hAnsi="Arial Narrow" w:cs="Arial"/>
                <w:sz w:val="20"/>
                <w:szCs w:val="20"/>
                <w:lang w:val="es-ES"/>
              </w:rPr>
            </w:pPr>
            <w:r>
              <w:rPr>
                <w:rFonts w:ascii="Arial Narrow" w:hAnsi="Arial Narrow" w:cs="Arial"/>
                <w:sz w:val="20"/>
                <w:szCs w:val="20"/>
                <w:lang w:val="es-ES"/>
              </w:rPr>
              <w:t>113,182</w:t>
            </w:r>
          </w:p>
        </w:tc>
      </w:tr>
      <w:tr w:rsidR="00606CF9" w:rsidTr="000D4C6B">
        <w:tc>
          <w:tcPr>
            <w:tcW w:w="1274"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ICHITAIP1162</w:t>
            </w:r>
          </w:p>
        </w:tc>
        <w:tc>
          <w:tcPr>
            <w:tcW w:w="1224"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Jetta Negro</w:t>
            </w:r>
          </w:p>
        </w:tc>
        <w:tc>
          <w:tcPr>
            <w:tcW w:w="1155"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Volkswagen</w:t>
            </w:r>
          </w:p>
        </w:tc>
        <w:tc>
          <w:tcPr>
            <w:tcW w:w="952" w:type="dxa"/>
          </w:tcPr>
          <w:p w:rsidR="00606CF9" w:rsidRPr="006E7CBA" w:rsidRDefault="00606CF9" w:rsidP="000D4C6B">
            <w:pPr>
              <w:spacing w:line="360" w:lineRule="auto"/>
              <w:jc w:val="both"/>
              <w:rPr>
                <w:rFonts w:ascii="Arial Narrow" w:hAnsi="Arial Narrow" w:cs="Arial"/>
                <w:sz w:val="20"/>
                <w:szCs w:val="20"/>
                <w:lang w:val="es-ES"/>
              </w:rPr>
            </w:pPr>
            <w:r w:rsidRPr="006E7CBA">
              <w:rPr>
                <w:rFonts w:ascii="Arial Narrow" w:hAnsi="Arial Narrow" w:cs="Arial"/>
                <w:sz w:val="20"/>
                <w:szCs w:val="20"/>
                <w:lang w:val="es-ES"/>
              </w:rPr>
              <w:t>2011</w:t>
            </w:r>
          </w:p>
        </w:tc>
        <w:tc>
          <w:tcPr>
            <w:tcW w:w="1831" w:type="dxa"/>
          </w:tcPr>
          <w:p w:rsidR="00606CF9" w:rsidRDefault="00606CF9" w:rsidP="000D4C6B">
            <w:pPr>
              <w:jc w:val="both"/>
              <w:rPr>
                <w:rFonts w:ascii="Calibri" w:hAnsi="Calibri" w:cs="Calibri"/>
                <w:color w:val="000000"/>
                <w:sz w:val="16"/>
                <w:szCs w:val="16"/>
              </w:rPr>
            </w:pPr>
            <w:r>
              <w:rPr>
                <w:rFonts w:ascii="Calibri" w:hAnsi="Calibri" w:cs="Calibri"/>
                <w:color w:val="000000"/>
                <w:sz w:val="16"/>
                <w:szCs w:val="16"/>
              </w:rPr>
              <w:t>3VWDV09M9BM045492</w:t>
            </w:r>
          </w:p>
          <w:p w:rsidR="00606CF9" w:rsidRPr="006E7CBA" w:rsidRDefault="00606CF9" w:rsidP="000D4C6B">
            <w:pPr>
              <w:spacing w:line="360" w:lineRule="auto"/>
              <w:jc w:val="both"/>
              <w:rPr>
                <w:rFonts w:ascii="Arial Narrow" w:hAnsi="Arial Narrow" w:cs="Arial"/>
                <w:sz w:val="20"/>
                <w:szCs w:val="20"/>
                <w:lang w:val="es-ES"/>
              </w:rPr>
            </w:pPr>
          </w:p>
        </w:tc>
        <w:tc>
          <w:tcPr>
            <w:tcW w:w="1009" w:type="dxa"/>
          </w:tcPr>
          <w:p w:rsidR="00606CF9" w:rsidRPr="006E7CBA" w:rsidRDefault="00606CF9" w:rsidP="000D4C6B">
            <w:pPr>
              <w:spacing w:line="360" w:lineRule="auto"/>
              <w:jc w:val="both"/>
              <w:rPr>
                <w:rFonts w:ascii="Arial Narrow" w:hAnsi="Arial Narrow" w:cs="Arial"/>
                <w:sz w:val="20"/>
                <w:szCs w:val="20"/>
                <w:lang w:val="es-ES"/>
              </w:rPr>
            </w:pPr>
            <w:r>
              <w:rPr>
                <w:rFonts w:ascii="Arial Narrow" w:hAnsi="Arial Narrow" w:cs="Arial"/>
                <w:sz w:val="20"/>
                <w:szCs w:val="20"/>
                <w:lang w:val="es-ES"/>
              </w:rPr>
              <w:t>ELM2078</w:t>
            </w:r>
          </w:p>
        </w:tc>
        <w:tc>
          <w:tcPr>
            <w:tcW w:w="635" w:type="dxa"/>
          </w:tcPr>
          <w:p w:rsidR="00606CF9" w:rsidRPr="006E7CBA" w:rsidRDefault="00606CF9" w:rsidP="000D4C6B">
            <w:pPr>
              <w:spacing w:line="360" w:lineRule="auto"/>
              <w:jc w:val="both"/>
              <w:rPr>
                <w:rFonts w:ascii="Arial Narrow" w:hAnsi="Arial Narrow" w:cs="Arial"/>
                <w:sz w:val="20"/>
                <w:szCs w:val="20"/>
                <w:lang w:val="es-ES"/>
              </w:rPr>
            </w:pPr>
            <w:r>
              <w:rPr>
                <w:rFonts w:ascii="Arial Narrow" w:hAnsi="Arial Narrow" w:cs="Arial"/>
                <w:sz w:val="20"/>
                <w:szCs w:val="20"/>
                <w:lang w:val="es-ES"/>
              </w:rPr>
              <w:t>371,104</w:t>
            </w:r>
          </w:p>
        </w:tc>
      </w:tr>
    </w:tbl>
    <w:p w:rsidR="00D779C4" w:rsidRDefault="00D779C4" w:rsidP="00D779C4">
      <w:pPr>
        <w:spacing w:before="120" w:after="120"/>
        <w:jc w:val="both"/>
        <w:rPr>
          <w:rFonts w:ascii="Arial" w:eastAsia="Arial" w:hAnsi="Arial" w:cs="Arial"/>
          <w:sz w:val="24"/>
          <w:szCs w:val="24"/>
          <w:lang w:val="es-MX"/>
        </w:rPr>
      </w:pPr>
    </w:p>
    <w:p w:rsidR="00A870D9" w:rsidRDefault="00E36E94" w:rsidP="00D779C4">
      <w:pPr>
        <w:spacing w:before="120" w:after="120"/>
        <w:jc w:val="both"/>
        <w:rPr>
          <w:rFonts w:ascii="Arial" w:eastAsia="Arial" w:hAnsi="Arial" w:cs="Arial"/>
          <w:sz w:val="24"/>
          <w:szCs w:val="24"/>
          <w:lang w:val="es-MX"/>
        </w:rPr>
      </w:pPr>
      <w:r w:rsidRPr="00E36E94">
        <w:rPr>
          <w:rFonts w:ascii="Arial" w:eastAsia="Arial" w:hAnsi="Arial" w:cs="Arial"/>
          <w:b/>
          <w:sz w:val="24"/>
          <w:szCs w:val="24"/>
          <w:lang w:val="es-MX"/>
        </w:rPr>
        <w:t>SEGUNDO</w:t>
      </w:r>
      <w:r>
        <w:rPr>
          <w:rFonts w:ascii="Arial" w:eastAsia="Arial" w:hAnsi="Arial" w:cs="Arial"/>
          <w:sz w:val="24"/>
          <w:szCs w:val="24"/>
          <w:lang w:val="es-MX"/>
        </w:rPr>
        <w:t xml:space="preserve">. </w:t>
      </w:r>
      <w:r w:rsidR="00CC7268" w:rsidRPr="00CC7268">
        <w:rPr>
          <w:rFonts w:ascii="Arial" w:eastAsia="Arial" w:hAnsi="Arial" w:cs="Arial"/>
          <w:sz w:val="24"/>
          <w:szCs w:val="24"/>
          <w:lang w:val="es-ES"/>
        </w:rPr>
        <w:t xml:space="preserve">Con los efectos y alcances jurídicos y administrativos establecidos en el artículo 19 de la Ley de Bienes del Estado de Chihuahua, </w:t>
      </w:r>
      <w:r w:rsidR="00CC7268">
        <w:rPr>
          <w:rFonts w:ascii="Arial" w:eastAsia="Arial" w:hAnsi="Arial" w:cs="Arial"/>
          <w:sz w:val="24"/>
          <w:szCs w:val="24"/>
          <w:lang w:val="es-MX"/>
        </w:rPr>
        <w:t>s</w:t>
      </w:r>
      <w:r w:rsidR="00A870D9">
        <w:rPr>
          <w:rFonts w:ascii="Arial" w:eastAsia="Arial" w:hAnsi="Arial" w:cs="Arial"/>
          <w:sz w:val="24"/>
          <w:szCs w:val="24"/>
          <w:lang w:val="es-MX"/>
        </w:rPr>
        <w:t xml:space="preserve">e autoriza la </w:t>
      </w:r>
      <w:r w:rsidR="00CC7268">
        <w:rPr>
          <w:rFonts w:ascii="Arial" w:eastAsia="Arial" w:hAnsi="Arial" w:cs="Arial"/>
          <w:sz w:val="24"/>
          <w:szCs w:val="24"/>
          <w:lang w:val="es-MX"/>
        </w:rPr>
        <w:t>desafectación y</w:t>
      </w:r>
      <w:r w:rsidR="00A870D9">
        <w:rPr>
          <w:rFonts w:ascii="Arial" w:eastAsia="Arial" w:hAnsi="Arial" w:cs="Arial"/>
          <w:sz w:val="24"/>
          <w:szCs w:val="24"/>
          <w:lang w:val="es-MX"/>
        </w:rPr>
        <w:t xml:space="preserve"> desincorporación</w:t>
      </w:r>
      <w:r w:rsidR="00BC35B5" w:rsidRPr="00BC35B5">
        <w:rPr>
          <w:rFonts w:ascii="Arial" w:eastAsia="Arial" w:hAnsi="Arial" w:cs="Arial"/>
          <w:sz w:val="24"/>
          <w:szCs w:val="24"/>
          <w:lang w:val="es-MX"/>
        </w:rPr>
        <w:t xml:space="preserve"> </w:t>
      </w:r>
      <w:r w:rsidR="00BC35B5">
        <w:rPr>
          <w:rFonts w:ascii="Arial" w:eastAsia="Arial" w:hAnsi="Arial" w:cs="Arial"/>
          <w:sz w:val="24"/>
          <w:szCs w:val="24"/>
          <w:lang w:val="es-MX"/>
        </w:rPr>
        <w:t>de los bienes</w:t>
      </w:r>
      <w:r w:rsidR="00A870D9">
        <w:rPr>
          <w:rFonts w:ascii="Arial" w:eastAsia="Arial" w:hAnsi="Arial" w:cs="Arial"/>
          <w:sz w:val="24"/>
          <w:szCs w:val="24"/>
          <w:lang w:val="es-MX"/>
        </w:rPr>
        <w:t>, previa determinación de una base mínima de enajenación, que se realice mediante el promedio de cuando menos dos valuaciones actualizadas</w:t>
      </w:r>
      <w:r w:rsidR="00BC35B5">
        <w:rPr>
          <w:rFonts w:ascii="Arial" w:eastAsia="Arial" w:hAnsi="Arial" w:cs="Arial"/>
          <w:sz w:val="24"/>
          <w:szCs w:val="24"/>
          <w:lang w:val="es-MX"/>
        </w:rPr>
        <w:t>,</w:t>
      </w:r>
      <w:r w:rsidR="00A870D9">
        <w:rPr>
          <w:rFonts w:ascii="Arial" w:eastAsia="Arial" w:hAnsi="Arial" w:cs="Arial"/>
          <w:sz w:val="24"/>
          <w:szCs w:val="24"/>
          <w:lang w:val="es-MX"/>
        </w:rPr>
        <w:t xml:space="preserve"> que </w:t>
      </w:r>
      <w:r w:rsidR="00BC35B5">
        <w:rPr>
          <w:rFonts w:ascii="Arial" w:eastAsia="Arial" w:hAnsi="Arial" w:cs="Arial"/>
          <w:sz w:val="24"/>
          <w:szCs w:val="24"/>
          <w:lang w:val="es-MX"/>
        </w:rPr>
        <w:t>efectúen</w:t>
      </w:r>
      <w:r w:rsidR="00A870D9">
        <w:rPr>
          <w:rFonts w:ascii="Arial" w:eastAsia="Arial" w:hAnsi="Arial" w:cs="Arial"/>
          <w:sz w:val="24"/>
          <w:szCs w:val="24"/>
          <w:lang w:val="es-MX"/>
        </w:rPr>
        <w:t xml:space="preserve"> personas externas a la Institución, autorizadas para ello y con experiencia en el ramo. </w:t>
      </w:r>
    </w:p>
    <w:p w:rsidR="00A870D9" w:rsidRDefault="00A870D9" w:rsidP="008979DC">
      <w:pPr>
        <w:spacing w:before="120" w:after="120"/>
        <w:ind w:firstLine="5"/>
        <w:jc w:val="both"/>
        <w:rPr>
          <w:rFonts w:ascii="Arial" w:eastAsia="Arial" w:hAnsi="Arial" w:cs="Arial"/>
          <w:sz w:val="24"/>
          <w:szCs w:val="24"/>
          <w:lang w:val="es-MX"/>
        </w:rPr>
      </w:pPr>
      <w:r>
        <w:rPr>
          <w:rFonts w:ascii="Arial" w:eastAsia="Arial" w:hAnsi="Arial" w:cs="Arial"/>
          <w:b/>
          <w:sz w:val="24"/>
          <w:szCs w:val="24"/>
          <w:lang w:val="es-MX"/>
        </w:rPr>
        <w:t>TERCERO</w:t>
      </w:r>
      <w:r>
        <w:rPr>
          <w:rFonts w:ascii="Arial" w:eastAsia="Arial" w:hAnsi="Arial" w:cs="Arial"/>
          <w:sz w:val="24"/>
          <w:szCs w:val="24"/>
          <w:lang w:val="es-MX"/>
        </w:rPr>
        <w:t>. El procedimiento para enajenar los bienes será mediante la licitación que al efecto se realice en la adquisición de las nuevas unidades previamente autorizadas</w:t>
      </w:r>
      <w:r w:rsidR="00BC35B5">
        <w:rPr>
          <w:rFonts w:ascii="Arial" w:eastAsia="Arial" w:hAnsi="Arial" w:cs="Arial"/>
          <w:sz w:val="24"/>
          <w:szCs w:val="24"/>
          <w:lang w:val="es-MX"/>
        </w:rPr>
        <w:t xml:space="preserve"> </w:t>
      </w:r>
      <w:r>
        <w:rPr>
          <w:rFonts w:ascii="Arial" w:eastAsia="Arial" w:hAnsi="Arial" w:cs="Arial"/>
          <w:sz w:val="24"/>
          <w:szCs w:val="24"/>
          <w:lang w:val="es-MX"/>
        </w:rPr>
        <w:t>en el Presupuesto de Egresos del Instituto Chihuahuense para la Transparencia y Acceso a la Información Pública para el Ejercicio Fiscal 20</w:t>
      </w:r>
      <w:r w:rsidR="00CC7268">
        <w:rPr>
          <w:rFonts w:ascii="Arial" w:eastAsia="Arial" w:hAnsi="Arial" w:cs="Arial"/>
          <w:sz w:val="24"/>
          <w:szCs w:val="24"/>
          <w:lang w:val="es-MX"/>
        </w:rPr>
        <w:t>21</w:t>
      </w:r>
      <w:r>
        <w:rPr>
          <w:rFonts w:ascii="Arial" w:eastAsia="Arial" w:hAnsi="Arial" w:cs="Arial"/>
          <w:sz w:val="24"/>
          <w:szCs w:val="24"/>
          <w:lang w:val="es-MX"/>
        </w:rPr>
        <w:t>.</w:t>
      </w:r>
    </w:p>
    <w:p w:rsidR="00A870D9" w:rsidRPr="00B70108" w:rsidRDefault="00A870D9" w:rsidP="008979DC">
      <w:pPr>
        <w:spacing w:before="120" w:after="120"/>
        <w:ind w:firstLine="5"/>
        <w:jc w:val="both"/>
        <w:rPr>
          <w:rFonts w:ascii="Arial" w:eastAsia="Arial" w:hAnsi="Arial" w:cs="Arial"/>
          <w:sz w:val="24"/>
          <w:szCs w:val="24"/>
          <w:lang w:val="es-MX"/>
        </w:rPr>
      </w:pPr>
      <w:r w:rsidRPr="00B70108">
        <w:rPr>
          <w:rFonts w:ascii="Arial" w:eastAsia="Arial" w:hAnsi="Arial" w:cs="Arial"/>
          <w:sz w:val="24"/>
          <w:szCs w:val="24"/>
          <w:lang w:val="es-MX"/>
        </w:rPr>
        <w:t>En su defecto, la enajenación se realizará mediante subasta pública en donde personas físicas o morales puedan participar presentando una propuesta</w:t>
      </w:r>
      <w:r w:rsidR="00B70108" w:rsidRPr="00B70108">
        <w:rPr>
          <w:rFonts w:ascii="Arial" w:eastAsia="Arial" w:hAnsi="Arial" w:cs="Arial"/>
          <w:sz w:val="24"/>
          <w:szCs w:val="24"/>
          <w:lang w:val="es-MX"/>
        </w:rPr>
        <w:t xml:space="preserve"> en sobre cerrado a fin de que se apertura públicamente, adjudicándosele dicho bien, </w:t>
      </w:r>
      <w:r w:rsidR="00B70108" w:rsidRPr="00B70108">
        <w:rPr>
          <w:rFonts w:ascii="Arial" w:eastAsia="Arial" w:hAnsi="Arial" w:cs="Arial"/>
          <w:sz w:val="24"/>
          <w:szCs w:val="24"/>
          <w:lang w:val="es-MX"/>
        </w:rPr>
        <w:lastRenderedPageBreak/>
        <w:t xml:space="preserve">cubriendo el costo del mismo en el periodo y bajo el procedimiento que establezca el Comité de Adquisiciones, Arrendamientos y Servicios de este Instituto. </w:t>
      </w:r>
      <w:r w:rsidRPr="00B70108">
        <w:rPr>
          <w:rFonts w:ascii="Arial" w:eastAsia="Arial" w:hAnsi="Arial" w:cs="Arial"/>
          <w:sz w:val="24"/>
          <w:szCs w:val="24"/>
          <w:lang w:val="es-MX"/>
        </w:rPr>
        <w:t xml:space="preserve">  </w:t>
      </w:r>
    </w:p>
    <w:p w:rsidR="00E36E94" w:rsidRDefault="00A870D9" w:rsidP="008979DC">
      <w:pPr>
        <w:spacing w:before="120" w:after="120"/>
        <w:ind w:firstLine="5"/>
        <w:jc w:val="both"/>
        <w:rPr>
          <w:rFonts w:ascii="Arial" w:eastAsia="Arial" w:hAnsi="Arial" w:cs="Arial"/>
          <w:sz w:val="24"/>
          <w:szCs w:val="24"/>
          <w:lang w:val="es-MX"/>
        </w:rPr>
      </w:pPr>
      <w:r w:rsidRPr="00A870D9">
        <w:rPr>
          <w:rFonts w:ascii="Arial" w:eastAsia="Arial" w:hAnsi="Arial" w:cs="Arial"/>
          <w:b/>
          <w:sz w:val="24"/>
          <w:szCs w:val="24"/>
          <w:lang w:val="es-MX"/>
        </w:rPr>
        <w:t>CUARTO</w:t>
      </w:r>
      <w:r>
        <w:rPr>
          <w:rFonts w:ascii="Arial" w:eastAsia="Arial" w:hAnsi="Arial" w:cs="Arial"/>
          <w:sz w:val="24"/>
          <w:szCs w:val="24"/>
          <w:lang w:val="es-MX"/>
        </w:rPr>
        <w:t>.- Se autoriza al Presidente para que por conducto de la Dirección Administrativa, realice las acciones necesarias para la enajenación de los bienes, de conformidad con la base mínima de enajenación</w:t>
      </w:r>
      <w:r w:rsidR="00C04CA0">
        <w:rPr>
          <w:rFonts w:ascii="Arial" w:eastAsia="Arial" w:hAnsi="Arial" w:cs="Arial"/>
          <w:sz w:val="24"/>
          <w:szCs w:val="24"/>
          <w:lang w:val="es-MX"/>
        </w:rPr>
        <w:t xml:space="preserve"> autorizada </w:t>
      </w:r>
      <w:r>
        <w:rPr>
          <w:rFonts w:ascii="Arial" w:eastAsia="Arial" w:hAnsi="Arial" w:cs="Arial"/>
          <w:sz w:val="24"/>
          <w:szCs w:val="24"/>
          <w:lang w:val="es-MX"/>
        </w:rPr>
        <w:t>y de ello informe al Pleno.</w:t>
      </w:r>
    </w:p>
    <w:p w:rsidR="002A097D" w:rsidRPr="009E4BA4" w:rsidRDefault="005D4734" w:rsidP="008979DC">
      <w:pPr>
        <w:spacing w:before="120" w:after="120"/>
        <w:ind w:firstLine="5"/>
        <w:jc w:val="center"/>
        <w:rPr>
          <w:rFonts w:ascii="Arial" w:eastAsia="Arial" w:hAnsi="Arial" w:cs="Arial"/>
          <w:b/>
          <w:sz w:val="24"/>
          <w:szCs w:val="24"/>
          <w:lang w:val="es-MX"/>
        </w:rPr>
      </w:pPr>
      <w:r>
        <w:rPr>
          <w:rFonts w:ascii="Arial" w:eastAsia="Arial" w:hAnsi="Arial" w:cs="Arial"/>
          <w:b/>
          <w:sz w:val="24"/>
          <w:szCs w:val="24"/>
          <w:lang w:val="es-MX"/>
        </w:rPr>
        <w:t>TRANSITORIO</w:t>
      </w:r>
    </w:p>
    <w:p w:rsidR="002A097D" w:rsidRPr="002A097D" w:rsidRDefault="00B40B2B" w:rsidP="008979DC">
      <w:pPr>
        <w:spacing w:before="120" w:after="120"/>
        <w:ind w:firstLine="5"/>
        <w:jc w:val="both"/>
        <w:rPr>
          <w:rFonts w:ascii="Arial" w:eastAsia="Arial" w:hAnsi="Arial" w:cs="Arial"/>
          <w:sz w:val="24"/>
          <w:szCs w:val="24"/>
          <w:lang w:val="es-MX"/>
        </w:rPr>
      </w:pPr>
      <w:r w:rsidRPr="009E4BA4">
        <w:rPr>
          <w:rFonts w:ascii="Arial" w:eastAsia="Arial" w:hAnsi="Arial" w:cs="Arial"/>
          <w:b/>
          <w:sz w:val="24"/>
          <w:szCs w:val="24"/>
          <w:lang w:val="es-MX"/>
        </w:rPr>
        <w:t>Ú</w:t>
      </w:r>
      <w:r w:rsidR="0021323A" w:rsidRPr="009E4BA4">
        <w:rPr>
          <w:rFonts w:ascii="Arial" w:eastAsia="Arial" w:hAnsi="Arial" w:cs="Arial"/>
          <w:b/>
          <w:sz w:val="24"/>
          <w:szCs w:val="24"/>
          <w:lang w:val="es-MX"/>
        </w:rPr>
        <w:t>NICO</w:t>
      </w:r>
      <w:r w:rsidR="0021323A" w:rsidRPr="00F100E9">
        <w:rPr>
          <w:rFonts w:ascii="Arial" w:eastAsia="Arial" w:hAnsi="Arial" w:cs="Arial"/>
          <w:sz w:val="24"/>
          <w:szCs w:val="24"/>
          <w:lang w:val="es-MX"/>
        </w:rPr>
        <w:t>.-</w:t>
      </w:r>
      <w:r w:rsidR="002A097D" w:rsidRPr="002A097D">
        <w:rPr>
          <w:rFonts w:ascii="Arial" w:eastAsia="Arial" w:hAnsi="Arial" w:cs="Arial"/>
          <w:sz w:val="24"/>
          <w:szCs w:val="24"/>
          <w:lang w:val="es-MX"/>
        </w:rPr>
        <w:t xml:space="preserve">El presente Acuerdo surtirá sus efectos </w:t>
      </w:r>
      <w:r w:rsidR="00FD7B92">
        <w:rPr>
          <w:rFonts w:ascii="Arial" w:eastAsia="Arial" w:hAnsi="Arial" w:cs="Arial"/>
          <w:sz w:val="24"/>
          <w:szCs w:val="24"/>
          <w:lang w:val="es-MX"/>
        </w:rPr>
        <w:t xml:space="preserve">a partir de su aprobación por el Pleno del </w:t>
      </w:r>
      <w:r w:rsidR="00FD7B92" w:rsidRPr="00B77393">
        <w:rPr>
          <w:rFonts w:ascii="Arial" w:eastAsia="Arial" w:hAnsi="Arial" w:cs="Arial"/>
          <w:sz w:val="24"/>
          <w:szCs w:val="24"/>
          <w:lang w:val="es-MX"/>
        </w:rPr>
        <w:t xml:space="preserve">Instituto Chihuahuense </w:t>
      </w:r>
      <w:r w:rsidR="00FD7B92" w:rsidRPr="001B7599">
        <w:rPr>
          <w:rFonts w:ascii="Arial" w:eastAsia="Arial" w:hAnsi="Arial" w:cs="Arial"/>
          <w:sz w:val="24"/>
          <w:szCs w:val="24"/>
          <w:lang w:val="es-MX"/>
        </w:rPr>
        <w:t>para</w:t>
      </w:r>
      <w:r w:rsidR="00375C54">
        <w:rPr>
          <w:rFonts w:ascii="Arial" w:eastAsia="Arial" w:hAnsi="Arial" w:cs="Arial"/>
          <w:sz w:val="24"/>
          <w:szCs w:val="24"/>
          <w:lang w:val="es-MX"/>
        </w:rPr>
        <w:t xml:space="preserve"> </w:t>
      </w:r>
      <w:r w:rsidR="00FD7B92" w:rsidRPr="001B7599">
        <w:rPr>
          <w:rFonts w:ascii="Arial" w:eastAsia="Arial" w:hAnsi="Arial" w:cs="Arial"/>
          <w:sz w:val="24"/>
          <w:szCs w:val="24"/>
          <w:lang w:val="es-MX"/>
        </w:rPr>
        <w:t>la</w:t>
      </w:r>
      <w:r w:rsidR="00375C54">
        <w:rPr>
          <w:rFonts w:ascii="Arial" w:eastAsia="Arial" w:hAnsi="Arial" w:cs="Arial"/>
          <w:sz w:val="24"/>
          <w:szCs w:val="24"/>
          <w:lang w:val="es-MX"/>
        </w:rPr>
        <w:t xml:space="preserve"> </w:t>
      </w:r>
      <w:r w:rsidR="00FD7B92" w:rsidRPr="001B7599">
        <w:rPr>
          <w:rFonts w:ascii="Arial" w:eastAsia="Arial" w:hAnsi="Arial" w:cs="Arial"/>
          <w:sz w:val="24"/>
          <w:szCs w:val="24"/>
          <w:lang w:val="es-MX"/>
        </w:rPr>
        <w:t>Transparencia y</w:t>
      </w:r>
      <w:r w:rsidR="00375C54">
        <w:rPr>
          <w:rFonts w:ascii="Arial" w:eastAsia="Arial" w:hAnsi="Arial" w:cs="Arial"/>
          <w:sz w:val="24"/>
          <w:szCs w:val="24"/>
          <w:lang w:val="es-MX"/>
        </w:rPr>
        <w:t xml:space="preserve"> </w:t>
      </w:r>
      <w:r w:rsidR="00FD7B92" w:rsidRPr="001B7599">
        <w:rPr>
          <w:rFonts w:ascii="Arial" w:eastAsia="Arial" w:hAnsi="Arial" w:cs="Arial"/>
          <w:sz w:val="24"/>
          <w:szCs w:val="24"/>
          <w:lang w:val="es-MX"/>
        </w:rPr>
        <w:t>Acceso</w:t>
      </w:r>
      <w:r w:rsidR="00FD7B92" w:rsidRPr="00B77393">
        <w:rPr>
          <w:rFonts w:ascii="Arial" w:eastAsia="Arial" w:hAnsi="Arial" w:cs="Arial"/>
          <w:sz w:val="24"/>
          <w:szCs w:val="24"/>
          <w:lang w:val="es-MX"/>
        </w:rPr>
        <w:t xml:space="preserve"> a </w:t>
      </w:r>
      <w:r w:rsidR="00FD7B92" w:rsidRPr="001B7599">
        <w:rPr>
          <w:rFonts w:ascii="Arial" w:eastAsia="Arial" w:hAnsi="Arial" w:cs="Arial"/>
          <w:sz w:val="24"/>
          <w:szCs w:val="24"/>
          <w:lang w:val="es-MX"/>
        </w:rPr>
        <w:t>la</w:t>
      </w:r>
      <w:r w:rsidR="00FD7B92" w:rsidRPr="00B77393">
        <w:rPr>
          <w:rFonts w:ascii="Arial" w:eastAsia="Arial" w:hAnsi="Arial" w:cs="Arial"/>
          <w:sz w:val="24"/>
          <w:szCs w:val="24"/>
          <w:lang w:val="es-MX"/>
        </w:rPr>
        <w:t xml:space="preserve"> Información </w:t>
      </w:r>
      <w:r w:rsidR="00FD7B92">
        <w:rPr>
          <w:rFonts w:ascii="Arial" w:eastAsia="Arial" w:hAnsi="Arial" w:cs="Arial"/>
          <w:sz w:val="24"/>
          <w:szCs w:val="24"/>
          <w:lang w:val="es-MX"/>
        </w:rPr>
        <w:t>Pública</w:t>
      </w:r>
      <w:r w:rsidR="00AB7E24">
        <w:rPr>
          <w:rFonts w:ascii="Arial" w:eastAsia="Arial" w:hAnsi="Arial" w:cs="Arial"/>
          <w:sz w:val="24"/>
          <w:szCs w:val="24"/>
          <w:lang w:val="es-MX"/>
        </w:rPr>
        <w:t>.</w:t>
      </w:r>
    </w:p>
    <w:p w:rsidR="00280BE0" w:rsidRDefault="00280BE0" w:rsidP="0064210F">
      <w:pPr>
        <w:spacing w:before="120" w:after="120" w:line="360" w:lineRule="auto"/>
        <w:ind w:firstLine="5"/>
        <w:jc w:val="both"/>
        <w:rPr>
          <w:rFonts w:ascii="Arial" w:eastAsia="Arial" w:hAnsi="Arial" w:cs="Arial"/>
          <w:sz w:val="24"/>
          <w:szCs w:val="24"/>
          <w:lang w:val="es-MX"/>
        </w:rPr>
      </w:pPr>
    </w:p>
    <w:p w:rsidR="006D2245" w:rsidRPr="00BA4561" w:rsidRDefault="00C11929" w:rsidP="00C11929">
      <w:pPr>
        <w:ind w:right="-93"/>
        <w:jc w:val="both"/>
        <w:rPr>
          <w:rFonts w:ascii="Arial" w:hAnsi="Arial" w:cs="Arial"/>
        </w:rPr>
      </w:pPr>
      <w:r w:rsidRPr="00C11929">
        <w:rPr>
          <w:rFonts w:ascii="Arial" w:eastAsia="Times New Roman" w:hAnsi="Arial" w:cs="Arial"/>
          <w:sz w:val="24"/>
          <w:szCs w:val="24"/>
          <w:lang w:val="es-MX" w:eastAsia="es-ES"/>
        </w:rPr>
        <w:t xml:space="preserve">Así lo acordó el Pleno del Instituto Chihuahuense para la Transparencia y Acceso a la Información Pública, por unanimidad de votos en la Sesión </w:t>
      </w:r>
      <w:r>
        <w:rPr>
          <w:rFonts w:ascii="Arial" w:eastAsia="Times New Roman" w:hAnsi="Arial" w:cs="Arial"/>
          <w:sz w:val="24"/>
          <w:szCs w:val="24"/>
          <w:lang w:val="es-MX" w:eastAsia="es-ES"/>
        </w:rPr>
        <w:t>O</w:t>
      </w:r>
      <w:r w:rsidRPr="00C11929">
        <w:rPr>
          <w:rFonts w:ascii="Arial" w:eastAsia="Times New Roman" w:hAnsi="Arial" w:cs="Arial"/>
          <w:sz w:val="24"/>
          <w:szCs w:val="24"/>
          <w:lang w:val="es-MX" w:eastAsia="es-ES"/>
        </w:rPr>
        <w:t xml:space="preserve">rdinaria celebrada el día </w:t>
      </w:r>
      <w:r>
        <w:rPr>
          <w:rFonts w:ascii="Arial" w:eastAsia="Times New Roman" w:hAnsi="Arial" w:cs="Arial"/>
          <w:sz w:val="24"/>
          <w:szCs w:val="24"/>
          <w:lang w:val="es-MX" w:eastAsia="es-ES"/>
        </w:rPr>
        <w:t xml:space="preserve">veintitrés </w:t>
      </w:r>
      <w:r w:rsidRPr="00C11929">
        <w:rPr>
          <w:rFonts w:ascii="Arial" w:eastAsia="Times New Roman" w:hAnsi="Arial" w:cs="Arial"/>
          <w:sz w:val="24"/>
          <w:szCs w:val="24"/>
          <w:lang w:val="es-MX" w:eastAsia="es-ES"/>
        </w:rPr>
        <w:t xml:space="preserve">de </w:t>
      </w:r>
      <w:r>
        <w:rPr>
          <w:rFonts w:ascii="Arial" w:eastAsia="Times New Roman" w:hAnsi="Arial" w:cs="Arial"/>
          <w:sz w:val="24"/>
          <w:szCs w:val="24"/>
          <w:lang w:val="es-MX" w:eastAsia="es-ES"/>
        </w:rPr>
        <w:t xml:space="preserve">marzo </w:t>
      </w:r>
      <w:r w:rsidRPr="00C11929">
        <w:rPr>
          <w:rFonts w:ascii="Arial" w:eastAsia="Times New Roman" w:hAnsi="Arial" w:cs="Arial"/>
          <w:sz w:val="24"/>
          <w:szCs w:val="24"/>
          <w:lang w:val="es-MX" w:eastAsia="es-ES"/>
        </w:rPr>
        <w:t>del año dos mil veintidós</w:t>
      </w:r>
      <w:r w:rsidRPr="00C11929">
        <w:rPr>
          <w:rFonts w:ascii="Arial" w:eastAsia="Calibri" w:hAnsi="Arial" w:cs="Arial"/>
          <w:sz w:val="24"/>
          <w:szCs w:val="24"/>
          <w:lang w:val="es-MX" w:eastAsia="es-ES"/>
        </w:rPr>
        <w:t xml:space="preserve">, </w:t>
      </w:r>
      <w:r w:rsidRPr="00C11929">
        <w:rPr>
          <w:rFonts w:ascii="Arial" w:eastAsia="Times New Roman" w:hAnsi="Arial" w:cs="Arial"/>
          <w:sz w:val="24"/>
          <w:szCs w:val="24"/>
          <w:lang w:val="es-MX" w:eastAsia="es-ES"/>
        </w:rPr>
        <w:t>ante la fe del secretario ejecutivo Dr. Jesús Manuel Guerrero Rodríguez, con fundamento en el artículo 12 fracciones XVII y XIX del Reglamento Interior de éste Instituto</w:t>
      </w:r>
      <w:r w:rsidR="006D2245" w:rsidRPr="00BA4561">
        <w:rPr>
          <w:rFonts w:ascii="Arial" w:hAnsi="Arial" w:cs="Arial"/>
        </w:rPr>
        <w:t>.</w:t>
      </w:r>
    </w:p>
    <w:p w:rsidR="006D2245" w:rsidRDefault="006D2245" w:rsidP="00C11929">
      <w:pPr>
        <w:autoSpaceDE w:val="0"/>
        <w:autoSpaceDN w:val="0"/>
        <w:adjustRightInd w:val="0"/>
        <w:spacing w:after="0"/>
        <w:ind w:left="426"/>
        <w:jc w:val="center"/>
        <w:rPr>
          <w:rFonts w:ascii="Arial" w:hAnsi="Arial" w:cs="Arial"/>
          <w:b/>
        </w:rPr>
      </w:pPr>
    </w:p>
    <w:p w:rsidR="006D2245" w:rsidRDefault="006D2245" w:rsidP="00C11929">
      <w:pPr>
        <w:autoSpaceDE w:val="0"/>
        <w:autoSpaceDN w:val="0"/>
        <w:adjustRightInd w:val="0"/>
        <w:spacing w:after="0"/>
        <w:ind w:left="426"/>
        <w:jc w:val="center"/>
        <w:rPr>
          <w:rFonts w:ascii="Arial" w:hAnsi="Arial" w:cs="Arial"/>
          <w:b/>
        </w:rPr>
      </w:pPr>
    </w:p>
    <w:p w:rsidR="006D2245" w:rsidRDefault="006D2245" w:rsidP="00C11929">
      <w:pPr>
        <w:autoSpaceDE w:val="0"/>
        <w:autoSpaceDN w:val="0"/>
        <w:adjustRightInd w:val="0"/>
        <w:spacing w:after="0"/>
        <w:ind w:left="426"/>
        <w:jc w:val="center"/>
        <w:rPr>
          <w:rFonts w:ascii="Arial" w:hAnsi="Arial" w:cs="Arial"/>
          <w:b/>
        </w:rPr>
      </w:pPr>
    </w:p>
    <w:p w:rsidR="006D2245" w:rsidRDefault="006D2245" w:rsidP="00C11929">
      <w:pPr>
        <w:autoSpaceDE w:val="0"/>
        <w:autoSpaceDN w:val="0"/>
        <w:adjustRightInd w:val="0"/>
        <w:spacing w:after="0"/>
        <w:ind w:left="426"/>
        <w:jc w:val="center"/>
        <w:rPr>
          <w:rFonts w:ascii="Arial" w:hAnsi="Arial" w:cs="Arial"/>
          <w:b/>
        </w:rPr>
      </w:pPr>
    </w:p>
    <w:p w:rsidR="006D2245" w:rsidRDefault="006D2245" w:rsidP="00C11929">
      <w:pPr>
        <w:autoSpaceDE w:val="0"/>
        <w:autoSpaceDN w:val="0"/>
        <w:adjustRightInd w:val="0"/>
        <w:spacing w:after="0"/>
        <w:ind w:left="426"/>
        <w:jc w:val="center"/>
        <w:rPr>
          <w:rFonts w:ascii="Arial" w:hAnsi="Arial" w:cs="Arial"/>
          <w:b/>
        </w:rPr>
      </w:pPr>
    </w:p>
    <w:p w:rsidR="006D2245" w:rsidRDefault="006D2245" w:rsidP="00C11929">
      <w:pPr>
        <w:autoSpaceDE w:val="0"/>
        <w:autoSpaceDN w:val="0"/>
        <w:adjustRightInd w:val="0"/>
        <w:spacing w:after="0"/>
        <w:ind w:left="426"/>
        <w:jc w:val="center"/>
        <w:rPr>
          <w:rFonts w:ascii="Arial" w:hAnsi="Arial" w:cs="Arial"/>
          <w:b/>
        </w:rPr>
      </w:pPr>
    </w:p>
    <w:p w:rsidR="00FF7676" w:rsidRDefault="00FF7676" w:rsidP="00C11929">
      <w:pPr>
        <w:autoSpaceDE w:val="0"/>
        <w:autoSpaceDN w:val="0"/>
        <w:adjustRightInd w:val="0"/>
        <w:spacing w:after="0"/>
        <w:ind w:left="426"/>
        <w:jc w:val="center"/>
        <w:rPr>
          <w:rFonts w:ascii="Arial" w:hAnsi="Arial" w:cs="Arial"/>
          <w:b/>
        </w:rPr>
      </w:pPr>
    </w:p>
    <w:p w:rsidR="005D4734" w:rsidRPr="00BA4561" w:rsidRDefault="005D4734" w:rsidP="00C11929">
      <w:pPr>
        <w:autoSpaceDE w:val="0"/>
        <w:autoSpaceDN w:val="0"/>
        <w:adjustRightInd w:val="0"/>
        <w:spacing w:after="0"/>
        <w:ind w:left="426"/>
        <w:jc w:val="center"/>
        <w:rPr>
          <w:rFonts w:ascii="Arial" w:hAnsi="Arial" w:cs="Arial"/>
          <w:b/>
        </w:rPr>
      </w:pPr>
    </w:p>
    <w:p w:rsidR="006D2245" w:rsidRPr="00BA4561" w:rsidRDefault="006D2245" w:rsidP="00C11929">
      <w:pPr>
        <w:autoSpaceDE w:val="0"/>
        <w:autoSpaceDN w:val="0"/>
        <w:adjustRightInd w:val="0"/>
        <w:spacing w:after="0"/>
        <w:ind w:left="426"/>
        <w:jc w:val="center"/>
        <w:rPr>
          <w:rFonts w:ascii="Arial" w:hAnsi="Arial" w:cs="Arial"/>
          <w:b/>
        </w:rPr>
      </w:pPr>
      <w:r w:rsidRPr="00BA4561">
        <w:rPr>
          <w:rFonts w:ascii="Arial" w:hAnsi="Arial" w:cs="Arial"/>
          <w:b/>
        </w:rPr>
        <w:t>MTRO. ERNESTO ALEJANDRO DE LA ROCHA MONTIEL</w:t>
      </w:r>
    </w:p>
    <w:p w:rsidR="006D2245" w:rsidRPr="00BA4561" w:rsidRDefault="006D2245" w:rsidP="00C11929">
      <w:pPr>
        <w:autoSpaceDE w:val="0"/>
        <w:autoSpaceDN w:val="0"/>
        <w:adjustRightInd w:val="0"/>
        <w:spacing w:after="0"/>
        <w:ind w:left="426"/>
        <w:jc w:val="center"/>
        <w:rPr>
          <w:rFonts w:ascii="Arial" w:hAnsi="Arial" w:cs="Arial"/>
          <w:b/>
        </w:rPr>
      </w:pPr>
      <w:r w:rsidRPr="00BA4561">
        <w:rPr>
          <w:rFonts w:ascii="Arial" w:hAnsi="Arial" w:cs="Arial"/>
          <w:b/>
        </w:rPr>
        <w:t>COMISIONADO PRESIDENTE</w:t>
      </w:r>
    </w:p>
    <w:p w:rsidR="006D2245" w:rsidRPr="00BA4561" w:rsidRDefault="006D2245" w:rsidP="00C11929">
      <w:pPr>
        <w:autoSpaceDE w:val="0"/>
        <w:autoSpaceDN w:val="0"/>
        <w:adjustRightInd w:val="0"/>
        <w:spacing w:after="0"/>
        <w:ind w:left="426"/>
        <w:jc w:val="center"/>
        <w:rPr>
          <w:rFonts w:ascii="Arial" w:hAnsi="Arial" w:cs="Arial"/>
          <w:b/>
        </w:rPr>
      </w:pPr>
    </w:p>
    <w:p w:rsidR="006D2245" w:rsidRPr="00BA4561" w:rsidRDefault="006D2245" w:rsidP="00C11929">
      <w:pPr>
        <w:autoSpaceDE w:val="0"/>
        <w:autoSpaceDN w:val="0"/>
        <w:adjustRightInd w:val="0"/>
        <w:spacing w:after="0"/>
        <w:ind w:left="426"/>
        <w:jc w:val="center"/>
        <w:rPr>
          <w:rFonts w:ascii="Arial" w:hAnsi="Arial" w:cs="Arial"/>
          <w:b/>
        </w:rPr>
      </w:pPr>
    </w:p>
    <w:p w:rsidR="006D2245" w:rsidRPr="00BA4561" w:rsidRDefault="006D2245" w:rsidP="00C11929">
      <w:pPr>
        <w:autoSpaceDE w:val="0"/>
        <w:autoSpaceDN w:val="0"/>
        <w:adjustRightInd w:val="0"/>
        <w:spacing w:after="0"/>
        <w:ind w:left="426"/>
        <w:jc w:val="center"/>
        <w:rPr>
          <w:rFonts w:ascii="Arial" w:hAnsi="Arial" w:cs="Arial"/>
          <w:b/>
        </w:rPr>
      </w:pPr>
    </w:p>
    <w:p w:rsidR="006D2245" w:rsidRDefault="006D2245" w:rsidP="00C11929">
      <w:pPr>
        <w:autoSpaceDE w:val="0"/>
        <w:autoSpaceDN w:val="0"/>
        <w:adjustRightInd w:val="0"/>
        <w:spacing w:after="0"/>
        <w:ind w:left="426"/>
        <w:jc w:val="center"/>
        <w:rPr>
          <w:rFonts w:ascii="Arial" w:hAnsi="Arial" w:cs="Arial"/>
          <w:b/>
        </w:rPr>
      </w:pPr>
    </w:p>
    <w:p w:rsidR="00FF7676" w:rsidRDefault="00FF7676" w:rsidP="00C11929">
      <w:pPr>
        <w:autoSpaceDE w:val="0"/>
        <w:autoSpaceDN w:val="0"/>
        <w:adjustRightInd w:val="0"/>
        <w:spacing w:after="0"/>
        <w:ind w:left="426"/>
        <w:jc w:val="center"/>
        <w:rPr>
          <w:rFonts w:ascii="Arial" w:hAnsi="Arial" w:cs="Arial"/>
          <w:b/>
        </w:rPr>
      </w:pPr>
    </w:p>
    <w:p w:rsidR="005D4734" w:rsidRDefault="005D4734" w:rsidP="00C11929">
      <w:pPr>
        <w:autoSpaceDE w:val="0"/>
        <w:autoSpaceDN w:val="0"/>
        <w:adjustRightInd w:val="0"/>
        <w:spacing w:after="0"/>
        <w:ind w:left="426"/>
        <w:jc w:val="center"/>
        <w:rPr>
          <w:rFonts w:ascii="Arial" w:hAnsi="Arial" w:cs="Arial"/>
          <w:b/>
        </w:rPr>
      </w:pPr>
    </w:p>
    <w:p w:rsidR="005D4734" w:rsidRDefault="005D4734" w:rsidP="00C11929">
      <w:pPr>
        <w:autoSpaceDE w:val="0"/>
        <w:autoSpaceDN w:val="0"/>
        <w:adjustRightInd w:val="0"/>
        <w:spacing w:after="0"/>
        <w:ind w:left="426"/>
        <w:jc w:val="center"/>
        <w:rPr>
          <w:rFonts w:ascii="Arial" w:hAnsi="Arial" w:cs="Arial"/>
          <w:b/>
        </w:rPr>
      </w:pPr>
    </w:p>
    <w:p w:rsidR="005D4734" w:rsidRPr="00BA4561" w:rsidRDefault="005D4734" w:rsidP="00C11929">
      <w:pPr>
        <w:autoSpaceDE w:val="0"/>
        <w:autoSpaceDN w:val="0"/>
        <w:adjustRightInd w:val="0"/>
        <w:spacing w:after="0"/>
        <w:ind w:left="426"/>
        <w:jc w:val="center"/>
        <w:rPr>
          <w:rFonts w:ascii="Arial" w:hAnsi="Arial" w:cs="Arial"/>
          <w:b/>
        </w:rPr>
      </w:pPr>
    </w:p>
    <w:p w:rsidR="006D2245" w:rsidRDefault="006D2245" w:rsidP="00C11929">
      <w:pPr>
        <w:autoSpaceDE w:val="0"/>
        <w:autoSpaceDN w:val="0"/>
        <w:adjustRightInd w:val="0"/>
        <w:spacing w:after="0"/>
        <w:ind w:left="426"/>
        <w:jc w:val="center"/>
        <w:rPr>
          <w:rFonts w:ascii="Arial" w:hAnsi="Arial" w:cs="Arial"/>
          <w:b/>
        </w:rPr>
      </w:pPr>
      <w:r w:rsidRPr="00BA4561">
        <w:rPr>
          <w:rFonts w:ascii="Arial" w:hAnsi="Arial" w:cs="Arial"/>
          <w:b/>
        </w:rPr>
        <w:t>DR. JESÚS MANUEL GUERRERO RODRÍGUEZ</w:t>
      </w:r>
    </w:p>
    <w:p w:rsidR="001248E3" w:rsidRPr="006D2245" w:rsidRDefault="006D2245" w:rsidP="00C11929">
      <w:pPr>
        <w:autoSpaceDE w:val="0"/>
        <w:autoSpaceDN w:val="0"/>
        <w:adjustRightInd w:val="0"/>
        <w:spacing w:after="0"/>
        <w:ind w:left="426"/>
        <w:jc w:val="center"/>
        <w:rPr>
          <w:rFonts w:ascii="Arial" w:hAnsi="Arial" w:cs="Arial"/>
          <w:b/>
        </w:rPr>
      </w:pPr>
      <w:r w:rsidRPr="00BA4561">
        <w:rPr>
          <w:rFonts w:ascii="Arial" w:hAnsi="Arial" w:cs="Arial"/>
          <w:b/>
        </w:rPr>
        <w:t>SECRETARIO EJECUTIVO</w:t>
      </w:r>
    </w:p>
    <w:sectPr w:rsidR="001248E3" w:rsidRPr="006D2245" w:rsidSect="00D3068D">
      <w:headerReference w:type="default" r:id="rId9"/>
      <w:footerReference w:type="default" r:id="rId10"/>
      <w:pgSz w:w="12240" w:h="15840" w:code="1"/>
      <w:pgMar w:top="709" w:right="1701" w:bottom="1134" w:left="1701" w:header="567" w:footer="3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D4" w:rsidRDefault="003773D4" w:rsidP="00185273">
      <w:pPr>
        <w:spacing w:after="0" w:line="240" w:lineRule="auto"/>
      </w:pPr>
      <w:r>
        <w:separator/>
      </w:r>
    </w:p>
  </w:endnote>
  <w:endnote w:type="continuationSeparator" w:id="0">
    <w:p w:rsidR="003773D4" w:rsidRDefault="003773D4" w:rsidP="0018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9506"/>
      <w:docPartObj>
        <w:docPartGallery w:val="Page Numbers (Bottom of Page)"/>
        <w:docPartUnique/>
      </w:docPartObj>
    </w:sdtPr>
    <w:sdtEndPr/>
    <w:sdtContent>
      <w:sdt>
        <w:sdtPr>
          <w:id w:val="-1503201460"/>
          <w:docPartObj>
            <w:docPartGallery w:val="Page Numbers (Bottom of Page)"/>
            <w:docPartUnique/>
          </w:docPartObj>
        </w:sdtPr>
        <w:sdtEndPr>
          <w:rPr>
            <w:sz w:val="20"/>
            <w:szCs w:val="20"/>
          </w:rPr>
        </w:sdtEndPr>
        <w:sdtContent>
          <w:sdt>
            <w:sdtPr>
              <w:id w:val="-1760353864"/>
              <w:docPartObj>
                <w:docPartGallery w:val="Page Numbers (Bottom of Page)"/>
                <w:docPartUnique/>
              </w:docPartObj>
            </w:sdtPr>
            <w:sdtEndPr>
              <w:rPr>
                <w:sz w:val="20"/>
                <w:szCs w:val="20"/>
              </w:rPr>
            </w:sdtEndPr>
            <w:sdtContent>
              <w:p w:rsidR="006D2245" w:rsidRPr="006D2245" w:rsidRDefault="006D2245" w:rsidP="006D2245">
                <w:pPr>
                  <w:pStyle w:val="Encabezado"/>
                  <w:jc w:val="center"/>
                  <w:rPr>
                    <w:rFonts w:ascii="Lucida Sans" w:hAnsi="Lucida Sans" w:cs="Arial"/>
                    <w:sz w:val="16"/>
                    <w:szCs w:val="16"/>
                  </w:rPr>
                </w:pPr>
                <w:r w:rsidRPr="006D2245">
                  <w:rPr>
                    <w:rFonts w:ascii="Lucida Sans" w:hAnsi="Lucida Sans"/>
                    <w:noProof/>
                    <w:sz w:val="16"/>
                    <w:szCs w:val="16"/>
                    <w:lang w:val="es-ES" w:eastAsia="es-ES"/>
                  </w:rPr>
                  <mc:AlternateContent>
                    <mc:Choice Requires="wps">
                      <w:drawing>
                        <wp:anchor distT="0" distB="0" distL="114300" distR="114300" simplePos="0" relativeHeight="251661312" behindDoc="0" locked="0" layoutInCell="1" allowOverlap="1" wp14:anchorId="5D55123E" wp14:editId="23A9C092">
                          <wp:simplePos x="0" y="0"/>
                          <wp:positionH relativeFrom="margin">
                            <wp:posOffset>-182106</wp:posOffset>
                          </wp:positionH>
                          <wp:positionV relativeFrom="paragraph">
                            <wp:posOffset>-33020</wp:posOffset>
                          </wp:positionV>
                          <wp:extent cx="5915025" cy="0"/>
                          <wp:effectExtent l="0" t="19050" r="9525"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35pt,-2.6pt" to="45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epF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" strokecolor="maroon" strokeweight="2.25pt">
                          <w10:wrap anchorx="margin"/>
                        </v:line>
                      </w:pict>
                    </mc:Fallback>
                  </mc:AlternateContent>
                </w:r>
                <w:r w:rsidRPr="006D2245">
                  <w:rPr>
                    <w:rFonts w:ascii="Lucida Sans" w:hAnsi="Lucida Sans" w:cs="Arial"/>
                    <w:b/>
                    <w:sz w:val="16"/>
                    <w:szCs w:val="16"/>
                  </w:rPr>
                  <w:t>”2022, Año del Centenario de la llegada de la Comunidad Menonita a Chihuahua”</w:t>
                </w:r>
              </w:p>
              <w:p w:rsidR="006D2245" w:rsidRPr="006D2245" w:rsidRDefault="006D2245" w:rsidP="006D2245">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Av. Teófilo Borunda n°. 2009 col. Arquitos, Chihuahua, Chih., México, C. P. 31205  </w:t>
                </w:r>
              </w:p>
              <w:p w:rsidR="006D2245" w:rsidRPr="006D2245" w:rsidRDefault="006D2245" w:rsidP="006D2245">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Conmutador: (614) 201 33 00</w:t>
                </w:r>
              </w:p>
              <w:p w:rsidR="006D2245" w:rsidRPr="006D2245" w:rsidRDefault="006D2245" w:rsidP="006D2245">
                <w:pPr>
                  <w:pStyle w:val="Piedepgina"/>
                  <w:jc w:val="center"/>
                  <w:rPr>
                    <w:rFonts w:ascii="Lucida Sans" w:hAnsi="Lucida Sans"/>
                    <w:b/>
                    <w:sz w:val="16"/>
                    <w:szCs w:val="16"/>
                  </w:rPr>
                </w:pPr>
                <w:r w:rsidRPr="006D2245">
                  <w:rPr>
                    <w:rFonts w:ascii="Lucida Sans" w:hAnsi="Lucida Sans" w:cs="Arial"/>
                    <w:b/>
                    <w:color w:val="333333"/>
                    <w:sz w:val="16"/>
                    <w:szCs w:val="16"/>
                    <w:shd w:val="clear" w:color="auto" w:fill="FFFFFF"/>
                  </w:rPr>
                  <w:t>www.ichitaip.org.mx</w:t>
                </w:r>
              </w:p>
              <w:p w:rsidR="0048608F" w:rsidRPr="006D2245" w:rsidRDefault="006D2245" w:rsidP="006D2245">
                <w:pPr>
                  <w:ind w:right="310"/>
                  <w:jc w:val="right"/>
                  <w:rPr>
                    <w:sz w:val="20"/>
                    <w:szCs w:val="20"/>
                  </w:rPr>
                </w:pPr>
                <w:r w:rsidRPr="00D3068D">
                  <w:rPr>
                    <w:rFonts w:ascii="Lucida Sans" w:hAnsi="Lucida Sans" w:cs="Arial"/>
                    <w:b/>
                    <w:sz w:val="20"/>
                    <w:szCs w:val="20"/>
                  </w:rPr>
                  <w:fldChar w:fldCharType="begin"/>
                </w:r>
                <w:r w:rsidRPr="00D3068D">
                  <w:rPr>
                    <w:rFonts w:ascii="Lucida Sans" w:hAnsi="Lucida Sans" w:cs="Arial"/>
                    <w:b/>
                    <w:sz w:val="20"/>
                    <w:szCs w:val="20"/>
                  </w:rPr>
                  <w:instrText>PAGE   \* MERGEFORMAT</w:instrText>
                </w:r>
                <w:r w:rsidRPr="00D3068D">
                  <w:rPr>
                    <w:rFonts w:ascii="Lucida Sans" w:hAnsi="Lucida Sans" w:cs="Arial"/>
                    <w:b/>
                    <w:sz w:val="20"/>
                    <w:szCs w:val="20"/>
                  </w:rPr>
                  <w:fldChar w:fldCharType="separate"/>
                </w:r>
                <w:r w:rsidR="00B26629" w:rsidRPr="00B26629">
                  <w:rPr>
                    <w:rFonts w:ascii="Lucida Sans" w:hAnsi="Lucida Sans" w:cs="Arial"/>
                    <w:b/>
                    <w:noProof/>
                    <w:sz w:val="20"/>
                    <w:szCs w:val="20"/>
                    <w:lang w:val="es-ES"/>
                  </w:rPr>
                  <w:t>1</w:t>
                </w:r>
                <w:r w:rsidRPr="00D3068D">
                  <w:rPr>
                    <w:rFonts w:ascii="Lucida Sans" w:hAnsi="Lucida Sans" w:cs="Arial"/>
                    <w:b/>
                    <w:sz w:val="20"/>
                    <w:szCs w:val="20"/>
                  </w:rPr>
                  <w:fldChar w:fldCharType="end"/>
                </w:r>
              </w:p>
            </w:sdtContent>
          </w:sdt>
        </w:sdtContent>
      </w:sdt>
    </w:sdtContent>
  </w:sdt>
  <w:p w:rsidR="0048608F" w:rsidRDefault="004860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D4" w:rsidRDefault="003773D4" w:rsidP="00185273">
      <w:pPr>
        <w:spacing w:after="0" w:line="240" w:lineRule="auto"/>
      </w:pPr>
      <w:r>
        <w:separator/>
      </w:r>
    </w:p>
  </w:footnote>
  <w:footnote w:type="continuationSeparator" w:id="0">
    <w:p w:rsidR="003773D4" w:rsidRDefault="003773D4" w:rsidP="0018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5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313"/>
    </w:tblGrid>
    <w:tr w:rsidR="00F92762" w:rsidTr="006D2245">
      <w:tc>
        <w:tcPr>
          <w:tcW w:w="2269" w:type="dxa"/>
        </w:tcPr>
        <w:p w:rsidR="00F92762" w:rsidRDefault="006D2245" w:rsidP="00FD4E7B">
          <w:pPr>
            <w:pStyle w:val="Encabezado"/>
            <w:ind w:left="-386" w:firstLine="386"/>
            <w:rPr>
              <w:rFonts w:asciiTheme="majorHAnsi" w:hAnsiTheme="majorHAnsi" w:cs="Lucida Sans"/>
              <w:b/>
              <w:iCs/>
            </w:rPr>
          </w:pPr>
          <w:r w:rsidRPr="006D2245">
            <w:rPr>
              <w:rFonts w:ascii="Times New Roman" w:eastAsia="Times New Roman" w:hAnsi="Times New Roman" w:cs="Times New Roman"/>
              <w:noProof/>
              <w:sz w:val="24"/>
              <w:szCs w:val="24"/>
              <w:lang w:val="es-ES" w:eastAsia="es-ES"/>
            </w:rPr>
            <w:drawing>
              <wp:inline distT="0" distB="0" distL="0" distR="0" wp14:anchorId="1434AF5C" wp14:editId="4438190A">
                <wp:extent cx="1294232" cy="614477"/>
                <wp:effectExtent l="0" t="0" r="127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302598" cy="618449"/>
                        </a:xfrm>
                        <a:prstGeom prst="rect">
                          <a:avLst/>
                        </a:prstGeom>
                        <a:noFill/>
                        <a:ln w="9525">
                          <a:noFill/>
                          <a:miter lim="800000"/>
                          <a:headEnd/>
                          <a:tailEnd/>
                        </a:ln>
                      </pic:spPr>
                    </pic:pic>
                  </a:graphicData>
                </a:graphic>
              </wp:inline>
            </w:drawing>
          </w:r>
        </w:p>
      </w:tc>
      <w:tc>
        <w:tcPr>
          <w:tcW w:w="7313" w:type="dxa"/>
        </w:tcPr>
        <w:p w:rsidR="00F92762" w:rsidRDefault="00F92762" w:rsidP="00FD4E7B">
          <w:pPr>
            <w:pStyle w:val="Encabezado"/>
            <w:jc w:val="right"/>
            <w:rPr>
              <w:rFonts w:ascii="Arial" w:hAnsi="Arial" w:cs="Arial"/>
              <w:b/>
              <w:iCs/>
            </w:rPr>
          </w:pPr>
        </w:p>
        <w:p w:rsidR="00F92762" w:rsidRDefault="00F92762" w:rsidP="006D2245">
          <w:pPr>
            <w:pStyle w:val="Encabezado"/>
            <w:ind w:right="543"/>
            <w:jc w:val="right"/>
            <w:rPr>
              <w:rFonts w:ascii="Arial" w:hAnsi="Arial" w:cs="Arial"/>
              <w:b/>
              <w:iCs/>
            </w:rPr>
          </w:pPr>
        </w:p>
        <w:p w:rsidR="00F92762" w:rsidRPr="004459C6" w:rsidRDefault="00F92762" w:rsidP="006D2245">
          <w:pPr>
            <w:pStyle w:val="Encabezado"/>
            <w:ind w:right="543"/>
            <w:jc w:val="right"/>
            <w:rPr>
              <w:rFonts w:ascii="Arial" w:hAnsi="Arial" w:cs="Arial"/>
              <w:b/>
              <w:iCs/>
            </w:rPr>
          </w:pPr>
          <w:r>
            <w:rPr>
              <w:rFonts w:ascii="Arial" w:hAnsi="Arial" w:cs="Arial"/>
              <w:b/>
              <w:iCs/>
            </w:rPr>
            <w:t>ACUERDO ICHITAIP/PLENO-0</w:t>
          </w:r>
          <w:r w:rsidR="006D2245">
            <w:rPr>
              <w:rFonts w:ascii="Arial" w:hAnsi="Arial" w:cs="Arial"/>
              <w:b/>
              <w:iCs/>
            </w:rPr>
            <w:t>5</w:t>
          </w:r>
          <w:r>
            <w:rPr>
              <w:rFonts w:ascii="Arial" w:hAnsi="Arial" w:cs="Arial"/>
              <w:b/>
              <w:iCs/>
            </w:rPr>
            <w:t>/2022</w:t>
          </w:r>
        </w:p>
        <w:p w:rsidR="00F92762" w:rsidRDefault="00F92762" w:rsidP="006D2245">
          <w:pPr>
            <w:pStyle w:val="Encabezado"/>
            <w:ind w:right="543"/>
            <w:jc w:val="right"/>
            <w:rPr>
              <w:rFonts w:asciiTheme="majorHAnsi" w:hAnsiTheme="majorHAnsi" w:cs="Lucida Sans"/>
              <w:b/>
              <w:iCs/>
            </w:rPr>
          </w:pPr>
          <w:r>
            <w:rPr>
              <w:rFonts w:ascii="Arial" w:hAnsi="Arial" w:cs="Arial"/>
              <w:b/>
              <w:bCs/>
              <w:sz w:val="18"/>
              <w:szCs w:val="18"/>
            </w:rPr>
            <w:t>APROBADO</w:t>
          </w:r>
          <w:r w:rsidRPr="00DF45ED">
            <w:rPr>
              <w:rFonts w:ascii="Arial" w:hAnsi="Arial" w:cs="Arial"/>
              <w:b/>
              <w:bCs/>
              <w:sz w:val="18"/>
              <w:szCs w:val="18"/>
            </w:rPr>
            <w:t xml:space="preserve"> </w:t>
          </w:r>
          <w:r>
            <w:rPr>
              <w:rFonts w:ascii="Arial" w:hAnsi="Arial" w:cs="Arial"/>
              <w:b/>
              <w:bCs/>
              <w:sz w:val="18"/>
              <w:szCs w:val="18"/>
            </w:rPr>
            <w:t xml:space="preserve">EN SESIÓN </w:t>
          </w:r>
          <w:r w:rsidR="006D2245">
            <w:rPr>
              <w:rFonts w:ascii="Arial" w:hAnsi="Arial" w:cs="Arial"/>
              <w:b/>
              <w:bCs/>
              <w:sz w:val="18"/>
              <w:szCs w:val="18"/>
            </w:rPr>
            <w:t xml:space="preserve">ORDINARIA </w:t>
          </w:r>
          <w:r>
            <w:rPr>
              <w:rFonts w:ascii="Arial" w:hAnsi="Arial" w:cs="Arial"/>
              <w:b/>
              <w:bCs/>
              <w:sz w:val="18"/>
              <w:szCs w:val="18"/>
            </w:rPr>
            <w:t>2</w:t>
          </w:r>
          <w:r w:rsidR="006D2245">
            <w:rPr>
              <w:rFonts w:ascii="Arial" w:hAnsi="Arial" w:cs="Arial"/>
              <w:b/>
              <w:bCs/>
              <w:sz w:val="18"/>
              <w:szCs w:val="18"/>
            </w:rPr>
            <w:t>3</w:t>
          </w:r>
          <w:r>
            <w:rPr>
              <w:rFonts w:ascii="Arial" w:hAnsi="Arial" w:cs="Arial"/>
              <w:b/>
              <w:bCs/>
              <w:sz w:val="18"/>
              <w:szCs w:val="18"/>
            </w:rPr>
            <w:t>-0</w:t>
          </w:r>
          <w:r w:rsidR="006D2245">
            <w:rPr>
              <w:rFonts w:ascii="Arial" w:hAnsi="Arial" w:cs="Arial"/>
              <w:b/>
              <w:bCs/>
              <w:sz w:val="18"/>
              <w:szCs w:val="18"/>
            </w:rPr>
            <w:t>3</w:t>
          </w:r>
          <w:r>
            <w:rPr>
              <w:rFonts w:ascii="Arial" w:hAnsi="Arial" w:cs="Arial"/>
              <w:b/>
              <w:bCs/>
              <w:sz w:val="18"/>
              <w:szCs w:val="18"/>
            </w:rPr>
            <w:t xml:space="preserve">-2022 </w:t>
          </w:r>
        </w:p>
      </w:tc>
    </w:tr>
  </w:tbl>
  <w:p w:rsidR="00175B83" w:rsidRDefault="00F92762" w:rsidP="006D2245">
    <w:pPr>
      <w:spacing w:after="0"/>
    </w:pPr>
    <w:r>
      <w:rPr>
        <w:noProof/>
        <w:lang w:val="es-ES" w:eastAsia="es-ES"/>
      </w:rPr>
      <mc:AlternateContent>
        <mc:Choice Requires="wps">
          <w:drawing>
            <wp:anchor distT="4294967294" distB="4294967294" distL="114300" distR="114300" simplePos="0" relativeHeight="251659264" behindDoc="0" locked="0" layoutInCell="1" allowOverlap="1" wp14:anchorId="37256C73" wp14:editId="31BE4D1F">
              <wp:simplePos x="0" y="0"/>
              <wp:positionH relativeFrom="column">
                <wp:posOffset>-22225</wp:posOffset>
              </wp:positionH>
              <wp:positionV relativeFrom="paragraph">
                <wp:posOffset>84511</wp:posOffset>
              </wp:positionV>
              <wp:extent cx="5613207" cy="0"/>
              <wp:effectExtent l="0" t="19050" r="698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207"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6.65pt" to="440.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0+FgIAACk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225"/>
    <w:multiLevelType w:val="hybridMultilevel"/>
    <w:tmpl w:val="3F089B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BB2D19"/>
    <w:multiLevelType w:val="hybridMultilevel"/>
    <w:tmpl w:val="C9A2F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D729BD"/>
    <w:multiLevelType w:val="hybridMultilevel"/>
    <w:tmpl w:val="4170B692"/>
    <w:lvl w:ilvl="0" w:tplc="BE9C0B1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BD3B94"/>
    <w:multiLevelType w:val="hybridMultilevel"/>
    <w:tmpl w:val="9B741A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4E92035F"/>
    <w:multiLevelType w:val="hybridMultilevel"/>
    <w:tmpl w:val="8D6A7F84"/>
    <w:lvl w:ilvl="0" w:tplc="614067F6">
      <w:start w:val="1"/>
      <w:numFmt w:val="upperRoman"/>
      <w:lvlText w:val="%1."/>
      <w:lvlJc w:val="righ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416F9E"/>
    <w:multiLevelType w:val="hybridMultilevel"/>
    <w:tmpl w:val="AD14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E9070C"/>
    <w:multiLevelType w:val="hybridMultilevel"/>
    <w:tmpl w:val="47F4D74A"/>
    <w:lvl w:ilvl="0" w:tplc="D290803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3974C8"/>
    <w:multiLevelType w:val="hybridMultilevel"/>
    <w:tmpl w:val="38EC221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71E34FFB"/>
    <w:multiLevelType w:val="hybridMultilevel"/>
    <w:tmpl w:val="280EF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7EB45F6"/>
    <w:multiLevelType w:val="hybridMultilevel"/>
    <w:tmpl w:val="8D6A7F84"/>
    <w:lvl w:ilvl="0" w:tplc="614067F6">
      <w:start w:val="1"/>
      <w:numFmt w:val="upperRoman"/>
      <w:lvlText w:val="%1."/>
      <w:lvlJc w:val="righ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
  </w:num>
  <w:num w:numId="5">
    <w:abstractNumId w:val="9"/>
  </w:num>
  <w:num w:numId="6">
    <w:abstractNumId w:val="4"/>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01"/>
    <w:rsid w:val="00017D5D"/>
    <w:rsid w:val="000353C9"/>
    <w:rsid w:val="00063833"/>
    <w:rsid w:val="000A4317"/>
    <w:rsid w:val="000D28BB"/>
    <w:rsid w:val="000F1930"/>
    <w:rsid w:val="000F5C22"/>
    <w:rsid w:val="00113C21"/>
    <w:rsid w:val="00114E82"/>
    <w:rsid w:val="001248E3"/>
    <w:rsid w:val="001427B8"/>
    <w:rsid w:val="0015171D"/>
    <w:rsid w:val="00175B83"/>
    <w:rsid w:val="00185273"/>
    <w:rsid w:val="00196708"/>
    <w:rsid w:val="001A1ABD"/>
    <w:rsid w:val="001B7599"/>
    <w:rsid w:val="001C5B23"/>
    <w:rsid w:val="001F702E"/>
    <w:rsid w:val="001F73A8"/>
    <w:rsid w:val="0021323A"/>
    <w:rsid w:val="002172D1"/>
    <w:rsid w:val="0021753F"/>
    <w:rsid w:val="00224A27"/>
    <w:rsid w:val="00237A2D"/>
    <w:rsid w:val="00245CC7"/>
    <w:rsid w:val="00280BE0"/>
    <w:rsid w:val="00286AE7"/>
    <w:rsid w:val="0029518B"/>
    <w:rsid w:val="002A097D"/>
    <w:rsid w:val="002F73D4"/>
    <w:rsid w:val="00332315"/>
    <w:rsid w:val="003353CC"/>
    <w:rsid w:val="00337144"/>
    <w:rsid w:val="00372F90"/>
    <w:rsid w:val="00373CC0"/>
    <w:rsid w:val="00373F5A"/>
    <w:rsid w:val="00375C54"/>
    <w:rsid w:val="003773D4"/>
    <w:rsid w:val="003929F4"/>
    <w:rsid w:val="003B0F26"/>
    <w:rsid w:val="003D1E11"/>
    <w:rsid w:val="003D555A"/>
    <w:rsid w:val="003E2E0D"/>
    <w:rsid w:val="004006C6"/>
    <w:rsid w:val="0040233D"/>
    <w:rsid w:val="00467D11"/>
    <w:rsid w:val="00480405"/>
    <w:rsid w:val="0048608F"/>
    <w:rsid w:val="004863E4"/>
    <w:rsid w:val="00487D6C"/>
    <w:rsid w:val="004A2F60"/>
    <w:rsid w:val="004B12F8"/>
    <w:rsid w:val="004D3007"/>
    <w:rsid w:val="004D6B18"/>
    <w:rsid w:val="004F1F0E"/>
    <w:rsid w:val="004F76A5"/>
    <w:rsid w:val="005029D5"/>
    <w:rsid w:val="005032DA"/>
    <w:rsid w:val="0057214A"/>
    <w:rsid w:val="005A77DF"/>
    <w:rsid w:val="005C06EC"/>
    <w:rsid w:val="005C521F"/>
    <w:rsid w:val="005C52ED"/>
    <w:rsid w:val="005D4734"/>
    <w:rsid w:val="005D6667"/>
    <w:rsid w:val="00606CF9"/>
    <w:rsid w:val="006109DE"/>
    <w:rsid w:val="00641648"/>
    <w:rsid w:val="0064210F"/>
    <w:rsid w:val="00643278"/>
    <w:rsid w:val="00661EC7"/>
    <w:rsid w:val="006865A3"/>
    <w:rsid w:val="006A30B8"/>
    <w:rsid w:val="006A7D88"/>
    <w:rsid w:val="006B2C25"/>
    <w:rsid w:val="006B4510"/>
    <w:rsid w:val="006B7921"/>
    <w:rsid w:val="006C0E03"/>
    <w:rsid w:val="006D2245"/>
    <w:rsid w:val="006F1BD3"/>
    <w:rsid w:val="0072104B"/>
    <w:rsid w:val="00745F75"/>
    <w:rsid w:val="00771602"/>
    <w:rsid w:val="00772B44"/>
    <w:rsid w:val="00781D7B"/>
    <w:rsid w:val="00791DD3"/>
    <w:rsid w:val="007A466A"/>
    <w:rsid w:val="007C2457"/>
    <w:rsid w:val="007D63E5"/>
    <w:rsid w:val="007E5738"/>
    <w:rsid w:val="007F7BDB"/>
    <w:rsid w:val="00814976"/>
    <w:rsid w:val="008155AC"/>
    <w:rsid w:val="008538C0"/>
    <w:rsid w:val="008633B1"/>
    <w:rsid w:val="008701BD"/>
    <w:rsid w:val="00887510"/>
    <w:rsid w:val="008979DC"/>
    <w:rsid w:val="00897C14"/>
    <w:rsid w:val="008D60B4"/>
    <w:rsid w:val="008F4C7A"/>
    <w:rsid w:val="009127BF"/>
    <w:rsid w:val="00916DF0"/>
    <w:rsid w:val="00927165"/>
    <w:rsid w:val="0094071B"/>
    <w:rsid w:val="009508F9"/>
    <w:rsid w:val="0095135C"/>
    <w:rsid w:val="00957B70"/>
    <w:rsid w:val="00977091"/>
    <w:rsid w:val="009D7880"/>
    <w:rsid w:val="009E3D8E"/>
    <w:rsid w:val="009E4BA4"/>
    <w:rsid w:val="009F3525"/>
    <w:rsid w:val="00A105ED"/>
    <w:rsid w:val="00A13188"/>
    <w:rsid w:val="00A1526E"/>
    <w:rsid w:val="00A222C0"/>
    <w:rsid w:val="00A526B5"/>
    <w:rsid w:val="00A658B1"/>
    <w:rsid w:val="00A80714"/>
    <w:rsid w:val="00A8507F"/>
    <w:rsid w:val="00A870D9"/>
    <w:rsid w:val="00A96C44"/>
    <w:rsid w:val="00AA0807"/>
    <w:rsid w:val="00AB7E24"/>
    <w:rsid w:val="00AC0952"/>
    <w:rsid w:val="00AD048D"/>
    <w:rsid w:val="00B07D1E"/>
    <w:rsid w:val="00B12FA9"/>
    <w:rsid w:val="00B26629"/>
    <w:rsid w:val="00B40B2B"/>
    <w:rsid w:val="00B56E17"/>
    <w:rsid w:val="00B70108"/>
    <w:rsid w:val="00B77393"/>
    <w:rsid w:val="00B8033C"/>
    <w:rsid w:val="00B86E65"/>
    <w:rsid w:val="00B87A32"/>
    <w:rsid w:val="00B95A43"/>
    <w:rsid w:val="00BC35B5"/>
    <w:rsid w:val="00BC60AA"/>
    <w:rsid w:val="00BC6E98"/>
    <w:rsid w:val="00BD670C"/>
    <w:rsid w:val="00C002CB"/>
    <w:rsid w:val="00C016DF"/>
    <w:rsid w:val="00C04CA0"/>
    <w:rsid w:val="00C11929"/>
    <w:rsid w:val="00C12B30"/>
    <w:rsid w:val="00C15B7B"/>
    <w:rsid w:val="00C22DDA"/>
    <w:rsid w:val="00C64B21"/>
    <w:rsid w:val="00C7219E"/>
    <w:rsid w:val="00C8791B"/>
    <w:rsid w:val="00C91301"/>
    <w:rsid w:val="00C95D1B"/>
    <w:rsid w:val="00C96CC2"/>
    <w:rsid w:val="00CB4F3C"/>
    <w:rsid w:val="00CB4F8F"/>
    <w:rsid w:val="00CC7268"/>
    <w:rsid w:val="00CF6D11"/>
    <w:rsid w:val="00D14A36"/>
    <w:rsid w:val="00D27D51"/>
    <w:rsid w:val="00D3068D"/>
    <w:rsid w:val="00D320FB"/>
    <w:rsid w:val="00D333B2"/>
    <w:rsid w:val="00D41C9E"/>
    <w:rsid w:val="00D43BFE"/>
    <w:rsid w:val="00D5137E"/>
    <w:rsid w:val="00D61FFD"/>
    <w:rsid w:val="00D779C4"/>
    <w:rsid w:val="00D92BE6"/>
    <w:rsid w:val="00D9454C"/>
    <w:rsid w:val="00DB109C"/>
    <w:rsid w:val="00DB7A5F"/>
    <w:rsid w:val="00DC77C5"/>
    <w:rsid w:val="00DF2181"/>
    <w:rsid w:val="00DF24A2"/>
    <w:rsid w:val="00E30E81"/>
    <w:rsid w:val="00E36E94"/>
    <w:rsid w:val="00E448EC"/>
    <w:rsid w:val="00E45CF5"/>
    <w:rsid w:val="00E71FD2"/>
    <w:rsid w:val="00E802D8"/>
    <w:rsid w:val="00ED3B73"/>
    <w:rsid w:val="00EE178A"/>
    <w:rsid w:val="00F01463"/>
    <w:rsid w:val="00F02F5A"/>
    <w:rsid w:val="00F074C3"/>
    <w:rsid w:val="00F100E9"/>
    <w:rsid w:val="00F92762"/>
    <w:rsid w:val="00FB5225"/>
    <w:rsid w:val="00FB799C"/>
    <w:rsid w:val="00FC0291"/>
    <w:rsid w:val="00FC1729"/>
    <w:rsid w:val="00FD45B5"/>
    <w:rsid w:val="00FD7B92"/>
    <w:rsid w:val="00FF76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paragraph" w:styleId="NormalWeb">
    <w:name w:val="Normal (Web)"/>
    <w:basedOn w:val="Normal"/>
    <w:uiPriority w:val="99"/>
    <w:semiHidden/>
    <w:unhideWhenUsed/>
    <w:rsid w:val="00FC0291"/>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95135C"/>
    <w:pPr>
      <w:widowControl/>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95135C"/>
    <w:rPr>
      <w:rFonts w:ascii="Arial" w:eastAsia="Times New Roman" w:hAnsi="Arial" w:cs="Times New Roman"/>
      <w:szCs w:val="20"/>
      <w:lang w:val="es-ES" w:eastAsia="es-ES"/>
    </w:rPr>
  </w:style>
  <w:style w:type="table" w:styleId="Tablaconcuadrcula">
    <w:name w:val="Table Grid"/>
    <w:basedOn w:val="Tablanormal"/>
    <w:uiPriority w:val="59"/>
    <w:rsid w:val="00142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A7D88"/>
    <w:pPr>
      <w:widowControl/>
      <w:spacing w:after="0" w:line="240" w:lineRule="auto"/>
    </w:pPr>
    <w:rPr>
      <w:lang w:val="es-MX"/>
    </w:rPr>
  </w:style>
  <w:style w:type="character" w:customStyle="1" w:styleId="PrrafodelistaCar">
    <w:name w:val="Párrafo de lista Car"/>
    <w:link w:val="Prrafodelista"/>
    <w:uiPriority w:val="34"/>
    <w:locked/>
    <w:rsid w:val="006D2245"/>
    <w:rPr>
      <w:rFonts w:ascii="Times New Roman" w:eastAsia="Times New Roman" w:hAnsi="Times New Roman" w:cs="Times New Roman"/>
      <w:sz w:val="20"/>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paragraph" w:styleId="NormalWeb">
    <w:name w:val="Normal (Web)"/>
    <w:basedOn w:val="Normal"/>
    <w:uiPriority w:val="99"/>
    <w:semiHidden/>
    <w:unhideWhenUsed/>
    <w:rsid w:val="00FC0291"/>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95135C"/>
    <w:pPr>
      <w:widowControl/>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95135C"/>
    <w:rPr>
      <w:rFonts w:ascii="Arial" w:eastAsia="Times New Roman" w:hAnsi="Arial" w:cs="Times New Roman"/>
      <w:szCs w:val="20"/>
      <w:lang w:val="es-ES" w:eastAsia="es-ES"/>
    </w:rPr>
  </w:style>
  <w:style w:type="table" w:styleId="Tablaconcuadrcula">
    <w:name w:val="Table Grid"/>
    <w:basedOn w:val="Tablanormal"/>
    <w:uiPriority w:val="59"/>
    <w:rsid w:val="00142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A7D88"/>
    <w:pPr>
      <w:widowControl/>
      <w:spacing w:after="0" w:line="240" w:lineRule="auto"/>
    </w:pPr>
    <w:rPr>
      <w:lang w:val="es-MX"/>
    </w:rPr>
  </w:style>
  <w:style w:type="character" w:customStyle="1" w:styleId="PrrafodelistaCar">
    <w:name w:val="Párrafo de lista Car"/>
    <w:link w:val="Prrafodelista"/>
    <w:uiPriority w:val="34"/>
    <w:locked/>
    <w:rsid w:val="006D2245"/>
    <w:rPr>
      <w:rFonts w:ascii="Times New Roman" w:eastAsia="Times New Roman" w:hAnsi="Times New Roman"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BED1-8BDA-441B-B746-48B4BED5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8363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Moriel</dc:creator>
  <cp:lastModifiedBy>Gabriela Chan Portillo</cp:lastModifiedBy>
  <cp:revision>2</cp:revision>
  <cp:lastPrinted>2022-03-24T17:01:00Z</cp:lastPrinted>
  <dcterms:created xsi:type="dcterms:W3CDTF">2022-03-25T16:28:00Z</dcterms:created>
  <dcterms:modified xsi:type="dcterms:W3CDTF">2022-03-25T16:28:00Z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LastSaved">
    <vt:filetime>2016-06-10T00:00:00Z</vt:filetime>
  </property>
</Properties>
</file>