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AECFF" w14:textId="49F0F2F3" w:rsidR="0071013F" w:rsidRPr="00482F3A" w:rsidRDefault="00482F3A" w:rsidP="003E55BF">
      <w:pPr>
        <w:spacing w:line="276" w:lineRule="auto"/>
        <w:jc w:val="both"/>
        <w:rPr>
          <w:rFonts w:ascii="Arial" w:hAnsi="Arial" w:cs="Arial"/>
          <w:b/>
          <w:sz w:val="22"/>
          <w:szCs w:val="22"/>
        </w:rPr>
      </w:pPr>
      <w:r w:rsidRPr="00482F3A">
        <w:rPr>
          <w:rFonts w:ascii="Arial" w:hAnsi="Arial" w:cs="Arial"/>
          <w:b/>
          <w:sz w:val="22"/>
          <w:szCs w:val="22"/>
        </w:rPr>
        <w:t>ACUERDO MEDIANTE EL CUAL SE SUSPENDEN LOS PLAZOS PARA QUE LOS SUJETOS OBLIGADOS DE LA LEY DE TRANSPARENCIA Y ACCESO A LA INFORMACIÓN PÚBLICA DEL ESTADO DE CHIHUAHUA, CONTEMPLADOS EN EL PROGRAMA ANUAL DE VERIFICACIÓN DE PUBLICACIÓN DE LAS OBLIGACIONES DE TRANSPARENCIA 2025, DEN CUMPLIMIENTO A LAS OBSERVACIONES Y RECOMENDACIONES DE LOS DICTÁMENES DE VERIFICACIÓN, ASÍ COMO LOS RELATIVOS PARA LA ADMISIÓN Y SUSTANCIACIÓN DE DENUNCIAS POR INCUMPLIMIENTO A LA PUBLICACIÓN DE LAS REFERIDAS OBLIGACIONES DE LOS SUJETOS OBLIGADOS, ESTO, HASTA QUE SE CUENTE CON LA CERTEZA DE LA CORRECTA OPERACIÓN DE LA PLATAFORMA NACIONAL DE TRANSPARENCIA, CON MOTIVO DE HABERSE ADVERTIDO MAL FUNCIONAMIENTO DE LOS SISTEMAS QUE LA INTEGRAN, QUE HACE MATERIALMENTE IMPOSIBLE ACOMETER A DICHO CUMPLIMIENTO.</w:t>
      </w:r>
    </w:p>
    <w:p w14:paraId="7DE59A3F" w14:textId="77777777" w:rsidR="00C612F8" w:rsidRPr="00482F3A" w:rsidRDefault="00C612F8" w:rsidP="003E55BF">
      <w:pPr>
        <w:spacing w:line="276" w:lineRule="auto"/>
        <w:jc w:val="both"/>
        <w:rPr>
          <w:rFonts w:ascii="Arial" w:hAnsi="Arial" w:cs="Arial"/>
          <w:b/>
          <w:sz w:val="22"/>
          <w:szCs w:val="22"/>
        </w:rPr>
      </w:pPr>
    </w:p>
    <w:p w14:paraId="0B62CA15" w14:textId="77777777" w:rsidR="0071013F" w:rsidRDefault="0071013F" w:rsidP="003E55BF">
      <w:pPr>
        <w:spacing w:line="276" w:lineRule="auto"/>
        <w:jc w:val="both"/>
        <w:rPr>
          <w:rFonts w:ascii="Arial" w:hAnsi="Arial" w:cs="Arial"/>
          <w:sz w:val="22"/>
          <w:szCs w:val="22"/>
        </w:rPr>
      </w:pPr>
      <w:r w:rsidRPr="00482F3A">
        <w:rPr>
          <w:rFonts w:ascii="Arial" w:hAnsi="Arial" w:cs="Arial"/>
          <w:sz w:val="22"/>
          <w:szCs w:val="22"/>
        </w:rPr>
        <w:t>El Pleno del Instituto Chihuahuense para la Transparencia y Acceso a la Información Pública, en ejercicio de las atribuciones que le confieren la Ley de Transparencia y Acceso a la Información Pública del Estado de Chihuahua; el Reglamento de Sesiones; y, su Reglamento Interior, expide el presente Acuerdo con base en los siguientes:</w:t>
      </w:r>
    </w:p>
    <w:p w14:paraId="40EE96A3" w14:textId="77777777" w:rsidR="00482F3A" w:rsidRPr="00482F3A" w:rsidRDefault="00482F3A" w:rsidP="003E55BF">
      <w:pPr>
        <w:spacing w:line="276" w:lineRule="auto"/>
        <w:jc w:val="both"/>
        <w:rPr>
          <w:rFonts w:ascii="Arial" w:hAnsi="Arial" w:cs="Arial"/>
          <w:sz w:val="22"/>
          <w:szCs w:val="22"/>
        </w:rPr>
      </w:pPr>
    </w:p>
    <w:p w14:paraId="67EF3A21" w14:textId="77777777" w:rsidR="0071013F" w:rsidRPr="00482F3A" w:rsidRDefault="0071013F" w:rsidP="003E55BF">
      <w:pPr>
        <w:spacing w:line="276" w:lineRule="auto"/>
        <w:jc w:val="center"/>
        <w:rPr>
          <w:rFonts w:ascii="Arial" w:hAnsi="Arial" w:cs="Arial"/>
          <w:b/>
          <w:sz w:val="22"/>
          <w:szCs w:val="22"/>
        </w:rPr>
      </w:pPr>
      <w:r w:rsidRPr="00482F3A">
        <w:rPr>
          <w:rFonts w:ascii="Arial" w:hAnsi="Arial" w:cs="Arial"/>
          <w:b/>
          <w:sz w:val="22"/>
          <w:szCs w:val="22"/>
        </w:rPr>
        <w:t>CONSIDERANDOS:</w:t>
      </w:r>
    </w:p>
    <w:p w14:paraId="5F95EE29" w14:textId="1F1AD58F" w:rsidR="0071013F" w:rsidRDefault="00762FE3" w:rsidP="003E55BF">
      <w:pPr>
        <w:pStyle w:val="Prrafodelista"/>
        <w:numPr>
          <w:ilvl w:val="0"/>
          <w:numId w:val="1"/>
        </w:numPr>
        <w:spacing w:line="276" w:lineRule="auto"/>
        <w:ind w:left="1077"/>
        <w:contextualSpacing w:val="0"/>
        <w:jc w:val="both"/>
        <w:rPr>
          <w:rFonts w:ascii="Arial" w:hAnsi="Arial" w:cs="Arial"/>
          <w:sz w:val="22"/>
          <w:szCs w:val="22"/>
        </w:rPr>
      </w:pPr>
      <w:r w:rsidRPr="00482F3A">
        <w:rPr>
          <w:rFonts w:ascii="Arial" w:hAnsi="Arial" w:cs="Arial"/>
          <w:sz w:val="22"/>
          <w:szCs w:val="22"/>
        </w:rPr>
        <w:t xml:space="preserve">Que en fecha </w:t>
      </w:r>
      <w:r w:rsidR="00823F90">
        <w:rPr>
          <w:rFonts w:ascii="Arial" w:hAnsi="Arial" w:cs="Arial"/>
          <w:sz w:val="22"/>
          <w:szCs w:val="22"/>
        </w:rPr>
        <w:t xml:space="preserve">veinte de diciembre del </w:t>
      </w:r>
      <w:r w:rsidR="0042615E" w:rsidRPr="00482F3A">
        <w:rPr>
          <w:rFonts w:ascii="Arial" w:hAnsi="Arial" w:cs="Arial"/>
          <w:sz w:val="22"/>
          <w:szCs w:val="22"/>
        </w:rPr>
        <w:t xml:space="preserve">2024, el Diario Oficial de la Federación (DOF) publicó el decreto de reforma constitucional en materia de </w:t>
      </w:r>
      <w:r w:rsidR="00823F90" w:rsidRPr="00823F90">
        <w:rPr>
          <w:rFonts w:ascii="Arial" w:hAnsi="Arial" w:cs="Arial"/>
          <w:b/>
          <w:bCs/>
          <w:i/>
          <w:iCs/>
          <w:sz w:val="22"/>
          <w:szCs w:val="22"/>
        </w:rPr>
        <w:t>“S</w:t>
      </w:r>
      <w:r w:rsidR="0042615E" w:rsidRPr="00823F90">
        <w:rPr>
          <w:rFonts w:ascii="Arial" w:hAnsi="Arial" w:cs="Arial"/>
          <w:b/>
          <w:bCs/>
          <w:i/>
          <w:iCs/>
          <w:sz w:val="22"/>
          <w:szCs w:val="22"/>
        </w:rPr>
        <w:t xml:space="preserve">implificación </w:t>
      </w:r>
      <w:r w:rsidR="00823F90" w:rsidRPr="00823F90">
        <w:rPr>
          <w:rFonts w:ascii="Arial" w:hAnsi="Arial" w:cs="Arial"/>
          <w:b/>
          <w:bCs/>
          <w:i/>
          <w:iCs/>
          <w:sz w:val="22"/>
          <w:szCs w:val="22"/>
        </w:rPr>
        <w:t>O</w:t>
      </w:r>
      <w:r w:rsidR="0042615E" w:rsidRPr="00823F90">
        <w:rPr>
          <w:rFonts w:ascii="Arial" w:hAnsi="Arial" w:cs="Arial"/>
          <w:b/>
          <w:bCs/>
          <w:i/>
          <w:iCs/>
          <w:sz w:val="22"/>
          <w:szCs w:val="22"/>
        </w:rPr>
        <w:t>rgánica</w:t>
      </w:r>
      <w:r w:rsidR="00823F90" w:rsidRPr="00823F90">
        <w:rPr>
          <w:rFonts w:ascii="Arial" w:hAnsi="Arial" w:cs="Arial"/>
          <w:b/>
          <w:bCs/>
          <w:i/>
          <w:iCs/>
          <w:sz w:val="22"/>
          <w:szCs w:val="22"/>
        </w:rPr>
        <w:t>”</w:t>
      </w:r>
      <w:r w:rsidR="0042615E" w:rsidRPr="00482F3A">
        <w:rPr>
          <w:rFonts w:ascii="Arial" w:hAnsi="Arial" w:cs="Arial"/>
          <w:sz w:val="22"/>
          <w:szCs w:val="22"/>
        </w:rPr>
        <w:t>, el cual entr</w:t>
      </w:r>
      <w:r w:rsidR="00482F3A" w:rsidRPr="00482F3A">
        <w:rPr>
          <w:rFonts w:ascii="Arial" w:hAnsi="Arial" w:cs="Arial"/>
          <w:sz w:val="22"/>
          <w:szCs w:val="22"/>
        </w:rPr>
        <w:t>ó</w:t>
      </w:r>
      <w:r w:rsidR="0042615E" w:rsidRPr="00482F3A">
        <w:rPr>
          <w:rFonts w:ascii="Arial" w:hAnsi="Arial" w:cs="Arial"/>
          <w:sz w:val="22"/>
          <w:szCs w:val="22"/>
        </w:rPr>
        <w:t xml:space="preserve"> en vigor el sábado 21 de diciembre</w:t>
      </w:r>
      <w:r w:rsidR="00823F90">
        <w:rPr>
          <w:rFonts w:ascii="Arial" w:hAnsi="Arial" w:cs="Arial"/>
          <w:sz w:val="22"/>
          <w:szCs w:val="22"/>
        </w:rPr>
        <w:t xml:space="preserve"> de la misma anualidad</w:t>
      </w:r>
      <w:r w:rsidR="0042615E" w:rsidRPr="00482F3A">
        <w:rPr>
          <w:rFonts w:ascii="Arial" w:hAnsi="Arial" w:cs="Arial"/>
          <w:sz w:val="22"/>
          <w:szCs w:val="22"/>
        </w:rPr>
        <w:t>.</w:t>
      </w:r>
    </w:p>
    <w:p w14:paraId="1F5D04EA" w14:textId="77777777" w:rsidR="00417168" w:rsidRPr="00482F3A" w:rsidRDefault="00417168" w:rsidP="003E55BF">
      <w:pPr>
        <w:pStyle w:val="Prrafodelista"/>
        <w:spacing w:line="276" w:lineRule="auto"/>
        <w:ind w:left="1077"/>
        <w:contextualSpacing w:val="0"/>
        <w:jc w:val="both"/>
        <w:rPr>
          <w:rFonts w:ascii="Arial" w:hAnsi="Arial" w:cs="Arial"/>
          <w:sz w:val="22"/>
          <w:szCs w:val="22"/>
        </w:rPr>
      </w:pPr>
    </w:p>
    <w:p w14:paraId="3DA47FF7" w14:textId="6A4127B5" w:rsidR="00040780" w:rsidRPr="00482F3A" w:rsidRDefault="00040780" w:rsidP="003E55BF">
      <w:pPr>
        <w:pStyle w:val="Prrafodelista"/>
        <w:numPr>
          <w:ilvl w:val="0"/>
          <w:numId w:val="1"/>
        </w:numPr>
        <w:spacing w:line="276" w:lineRule="auto"/>
        <w:ind w:left="1077"/>
        <w:contextualSpacing w:val="0"/>
        <w:jc w:val="both"/>
        <w:rPr>
          <w:rFonts w:ascii="Arial" w:hAnsi="Arial" w:cs="Arial"/>
          <w:sz w:val="22"/>
          <w:szCs w:val="22"/>
        </w:rPr>
      </w:pPr>
      <w:r w:rsidRPr="00482F3A">
        <w:rPr>
          <w:rFonts w:ascii="Arial" w:hAnsi="Arial" w:cs="Arial"/>
          <w:sz w:val="22"/>
          <w:szCs w:val="22"/>
        </w:rPr>
        <w:t>Mediante dich</w:t>
      </w:r>
      <w:r w:rsidR="00823F90">
        <w:rPr>
          <w:rFonts w:ascii="Arial" w:hAnsi="Arial" w:cs="Arial"/>
          <w:sz w:val="22"/>
          <w:szCs w:val="22"/>
        </w:rPr>
        <w:t>o</w:t>
      </w:r>
      <w:r w:rsidRPr="00482F3A">
        <w:rPr>
          <w:rFonts w:ascii="Arial" w:hAnsi="Arial" w:cs="Arial"/>
          <w:sz w:val="22"/>
          <w:szCs w:val="22"/>
        </w:rPr>
        <w:t xml:space="preserve"> </w:t>
      </w:r>
      <w:r w:rsidR="00823F90">
        <w:rPr>
          <w:rFonts w:ascii="Arial" w:hAnsi="Arial" w:cs="Arial"/>
          <w:sz w:val="22"/>
          <w:szCs w:val="22"/>
        </w:rPr>
        <w:t xml:space="preserve">decreto, se </w:t>
      </w:r>
      <w:r w:rsidRPr="00482F3A">
        <w:rPr>
          <w:rFonts w:ascii="Arial" w:hAnsi="Arial" w:cs="Arial"/>
          <w:sz w:val="22"/>
          <w:szCs w:val="22"/>
        </w:rPr>
        <w:t>reforma</w:t>
      </w:r>
      <w:r w:rsidR="00823F90">
        <w:rPr>
          <w:rFonts w:ascii="Arial" w:hAnsi="Arial" w:cs="Arial"/>
          <w:sz w:val="22"/>
          <w:szCs w:val="22"/>
        </w:rPr>
        <w:t>,</w:t>
      </w:r>
      <w:r w:rsidRPr="00482F3A">
        <w:rPr>
          <w:rFonts w:ascii="Arial" w:hAnsi="Arial" w:cs="Arial"/>
          <w:sz w:val="22"/>
          <w:szCs w:val="22"/>
        </w:rPr>
        <w:t xml:space="preserve"> </w:t>
      </w:r>
      <w:r w:rsidR="00823F90">
        <w:rPr>
          <w:rFonts w:ascii="Arial" w:hAnsi="Arial" w:cs="Arial"/>
          <w:sz w:val="22"/>
          <w:szCs w:val="22"/>
        </w:rPr>
        <w:t xml:space="preserve">adicionan y </w:t>
      </w:r>
      <w:r w:rsidR="00482F3A" w:rsidRPr="00482F3A">
        <w:rPr>
          <w:rFonts w:ascii="Arial" w:hAnsi="Arial" w:cs="Arial"/>
          <w:sz w:val="22"/>
          <w:szCs w:val="22"/>
        </w:rPr>
        <w:t>se</w:t>
      </w:r>
      <w:r w:rsidRPr="00482F3A">
        <w:rPr>
          <w:rFonts w:ascii="Arial" w:hAnsi="Arial" w:cs="Arial"/>
          <w:sz w:val="22"/>
          <w:szCs w:val="22"/>
        </w:rPr>
        <w:t xml:space="preserve"> </w:t>
      </w:r>
      <w:r w:rsidR="00823F90">
        <w:rPr>
          <w:rFonts w:ascii="Arial" w:hAnsi="Arial" w:cs="Arial"/>
          <w:sz w:val="22"/>
          <w:szCs w:val="22"/>
        </w:rPr>
        <w:t>derogan</w:t>
      </w:r>
      <w:r w:rsidR="00482F3A" w:rsidRPr="00482F3A">
        <w:rPr>
          <w:rFonts w:ascii="Arial" w:hAnsi="Arial" w:cs="Arial"/>
          <w:sz w:val="22"/>
          <w:szCs w:val="22"/>
        </w:rPr>
        <w:t>, entre otr</w:t>
      </w:r>
      <w:r w:rsidR="00823F90">
        <w:rPr>
          <w:rFonts w:ascii="Arial" w:hAnsi="Arial" w:cs="Arial"/>
          <w:sz w:val="22"/>
          <w:szCs w:val="22"/>
        </w:rPr>
        <w:t>a</w:t>
      </w:r>
      <w:r w:rsidR="00482F3A" w:rsidRPr="00482F3A">
        <w:rPr>
          <w:rFonts w:ascii="Arial" w:hAnsi="Arial" w:cs="Arial"/>
          <w:sz w:val="22"/>
          <w:szCs w:val="22"/>
        </w:rPr>
        <w:t>s</w:t>
      </w:r>
      <w:r w:rsidR="00823F90">
        <w:rPr>
          <w:rFonts w:ascii="Arial" w:hAnsi="Arial" w:cs="Arial"/>
          <w:sz w:val="22"/>
          <w:szCs w:val="22"/>
        </w:rPr>
        <w:t xml:space="preserve"> disposiciones normativas</w:t>
      </w:r>
      <w:r w:rsidR="00482F3A" w:rsidRPr="00482F3A">
        <w:rPr>
          <w:rFonts w:ascii="Arial" w:hAnsi="Arial" w:cs="Arial"/>
          <w:sz w:val="22"/>
          <w:szCs w:val="22"/>
        </w:rPr>
        <w:t>,</w:t>
      </w:r>
      <w:r w:rsidRPr="00482F3A">
        <w:rPr>
          <w:rFonts w:ascii="Arial" w:hAnsi="Arial" w:cs="Arial"/>
          <w:sz w:val="22"/>
          <w:szCs w:val="22"/>
        </w:rPr>
        <w:t xml:space="preserve"> los artículos </w:t>
      </w:r>
      <w:r w:rsidR="00417168">
        <w:rPr>
          <w:rFonts w:ascii="Arial" w:hAnsi="Arial" w:cs="Arial"/>
          <w:sz w:val="22"/>
          <w:szCs w:val="22"/>
        </w:rPr>
        <w:t xml:space="preserve">6, 116 y 123 de la Constitución </w:t>
      </w:r>
      <w:r w:rsidR="00823F90">
        <w:rPr>
          <w:rFonts w:ascii="Arial" w:hAnsi="Arial" w:cs="Arial"/>
          <w:sz w:val="22"/>
          <w:szCs w:val="22"/>
        </w:rPr>
        <w:t>Política de los Estados Unidos Mexicanos</w:t>
      </w:r>
      <w:r w:rsidR="00417168">
        <w:rPr>
          <w:rFonts w:ascii="Arial" w:hAnsi="Arial" w:cs="Arial"/>
          <w:sz w:val="22"/>
          <w:szCs w:val="22"/>
        </w:rPr>
        <w:t>, por lo que respecta a l</w:t>
      </w:r>
      <w:r w:rsidR="00823F90">
        <w:rPr>
          <w:rFonts w:ascii="Arial" w:hAnsi="Arial" w:cs="Arial"/>
          <w:sz w:val="22"/>
          <w:szCs w:val="22"/>
        </w:rPr>
        <w:t xml:space="preserve">os derechos humanos de </w:t>
      </w:r>
      <w:r w:rsidR="00482F3A" w:rsidRPr="00482F3A">
        <w:rPr>
          <w:rFonts w:ascii="Arial" w:hAnsi="Arial" w:cs="Arial"/>
          <w:sz w:val="22"/>
          <w:szCs w:val="22"/>
        </w:rPr>
        <w:t>Transparencia y Acceso a la Información Pública</w:t>
      </w:r>
      <w:r w:rsidR="00417168">
        <w:rPr>
          <w:rFonts w:ascii="Arial" w:hAnsi="Arial" w:cs="Arial"/>
          <w:sz w:val="22"/>
          <w:szCs w:val="22"/>
        </w:rPr>
        <w:t>,</w:t>
      </w:r>
      <w:r w:rsidR="00823F90">
        <w:rPr>
          <w:rFonts w:ascii="Arial" w:hAnsi="Arial" w:cs="Arial"/>
          <w:sz w:val="22"/>
          <w:szCs w:val="22"/>
        </w:rPr>
        <w:t xml:space="preserve"> así como de su implementación</w:t>
      </w:r>
      <w:r w:rsidR="00417168">
        <w:rPr>
          <w:rFonts w:ascii="Arial" w:hAnsi="Arial" w:cs="Arial"/>
          <w:sz w:val="22"/>
          <w:szCs w:val="22"/>
        </w:rPr>
        <w:t xml:space="preserve"> mismos que quedaron de la siguiente manera</w:t>
      </w:r>
      <w:r w:rsidRPr="00482F3A">
        <w:rPr>
          <w:rFonts w:ascii="Arial" w:hAnsi="Arial" w:cs="Arial"/>
          <w:sz w:val="22"/>
          <w:szCs w:val="22"/>
        </w:rPr>
        <w:t>:</w:t>
      </w:r>
    </w:p>
    <w:p w14:paraId="06202B7E" w14:textId="77777777" w:rsidR="00417168" w:rsidRPr="00417168" w:rsidRDefault="00040780" w:rsidP="003E55BF">
      <w:pPr>
        <w:pStyle w:val="Prrafodelista"/>
        <w:spacing w:line="276" w:lineRule="auto"/>
        <w:ind w:left="1077"/>
        <w:contextualSpacing w:val="0"/>
        <w:jc w:val="both"/>
        <w:rPr>
          <w:rFonts w:ascii="Arial" w:hAnsi="Arial" w:cs="Arial"/>
          <w:b/>
          <w:bCs/>
          <w:i/>
          <w:iCs/>
          <w:sz w:val="22"/>
          <w:szCs w:val="22"/>
        </w:rPr>
      </w:pPr>
      <w:r w:rsidRPr="00417168">
        <w:rPr>
          <w:rFonts w:ascii="Arial" w:hAnsi="Arial" w:cs="Arial"/>
          <w:b/>
          <w:bCs/>
          <w:i/>
          <w:iCs/>
          <w:sz w:val="22"/>
          <w:szCs w:val="22"/>
        </w:rPr>
        <w:t xml:space="preserve">Artículo 6o. </w:t>
      </w:r>
      <w:r w:rsidR="00417168" w:rsidRPr="00417168">
        <w:rPr>
          <w:rFonts w:ascii="Arial" w:hAnsi="Arial" w:cs="Arial"/>
          <w:b/>
          <w:bCs/>
          <w:i/>
          <w:iCs/>
          <w:sz w:val="22"/>
          <w:szCs w:val="22"/>
        </w:rPr>
        <w:t>(…)</w:t>
      </w:r>
    </w:p>
    <w:p w14:paraId="5363BC00" w14:textId="062CF784" w:rsidR="00040780" w:rsidRPr="00417168" w:rsidRDefault="00040780" w:rsidP="003E55BF">
      <w:pPr>
        <w:pStyle w:val="Prrafodelista"/>
        <w:spacing w:line="276" w:lineRule="auto"/>
        <w:ind w:left="1077"/>
        <w:contextualSpacing w:val="0"/>
        <w:jc w:val="both"/>
        <w:rPr>
          <w:rFonts w:ascii="Arial" w:hAnsi="Arial" w:cs="Arial"/>
          <w:i/>
          <w:iCs/>
          <w:sz w:val="22"/>
          <w:szCs w:val="22"/>
        </w:rPr>
      </w:pPr>
      <w:r w:rsidRPr="00417168">
        <w:rPr>
          <w:rFonts w:ascii="Arial" w:hAnsi="Arial" w:cs="Arial"/>
          <w:i/>
          <w:iCs/>
          <w:sz w:val="22"/>
          <w:szCs w:val="22"/>
        </w:rPr>
        <w:t>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de telecomunicaciones y radiodifusión, establecerá condiciones de competencia efectiva en la prestación de dichos servicios.</w:t>
      </w:r>
    </w:p>
    <w:p w14:paraId="50F276BB" w14:textId="77777777" w:rsidR="00417168" w:rsidRPr="00417168" w:rsidRDefault="00417168"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i/>
          <w:iCs/>
          <w:sz w:val="22"/>
          <w:szCs w:val="22"/>
        </w:rPr>
        <w:t>(…)</w:t>
      </w:r>
    </w:p>
    <w:p w14:paraId="78E51AED" w14:textId="77777777" w:rsidR="00417168" w:rsidRPr="00417168" w:rsidRDefault="00417168" w:rsidP="003E55BF">
      <w:pPr>
        <w:pStyle w:val="Prrafodelista"/>
        <w:spacing w:line="276" w:lineRule="auto"/>
        <w:ind w:left="1077"/>
        <w:contextualSpacing w:val="0"/>
        <w:jc w:val="both"/>
        <w:rPr>
          <w:rFonts w:ascii="Arial" w:hAnsi="Arial" w:cs="Arial"/>
          <w:i/>
          <w:iCs/>
          <w:sz w:val="22"/>
          <w:szCs w:val="22"/>
        </w:rPr>
      </w:pPr>
    </w:p>
    <w:p w14:paraId="4B381B34" w14:textId="00099AFB" w:rsidR="00417168" w:rsidRPr="00417168" w:rsidRDefault="00417168" w:rsidP="003E55BF">
      <w:pPr>
        <w:pStyle w:val="Prrafodelista"/>
        <w:numPr>
          <w:ilvl w:val="0"/>
          <w:numId w:val="4"/>
        </w:numPr>
        <w:spacing w:line="276" w:lineRule="auto"/>
        <w:contextualSpacing w:val="0"/>
        <w:jc w:val="both"/>
        <w:rPr>
          <w:rFonts w:ascii="Arial" w:hAnsi="Arial" w:cs="Arial"/>
          <w:i/>
          <w:iCs/>
          <w:sz w:val="22"/>
          <w:szCs w:val="22"/>
        </w:rPr>
      </w:pPr>
      <w:r w:rsidRPr="00417168">
        <w:rPr>
          <w:rFonts w:ascii="Arial" w:hAnsi="Arial" w:cs="Arial"/>
          <w:i/>
          <w:iCs/>
          <w:sz w:val="22"/>
          <w:szCs w:val="22"/>
        </w:rPr>
        <w:t>(…)</w:t>
      </w:r>
    </w:p>
    <w:p w14:paraId="56652C3A" w14:textId="77777777" w:rsidR="00417168" w:rsidRPr="00417168" w:rsidRDefault="00040780"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b/>
          <w:bCs/>
          <w:i/>
          <w:iCs/>
          <w:sz w:val="22"/>
          <w:szCs w:val="22"/>
        </w:rPr>
        <w:lastRenderedPageBreak/>
        <w:t>II.</w:t>
      </w:r>
      <w:r w:rsidRPr="00417168">
        <w:rPr>
          <w:rFonts w:ascii="Arial" w:hAnsi="Arial" w:cs="Arial"/>
          <w:i/>
          <w:iCs/>
          <w:sz w:val="22"/>
          <w:szCs w:val="22"/>
        </w:rPr>
        <w:t xml:space="preserve"> La información que se refiere a la vida privada y los datos personales será protegida en los términos y con las excepciones que fijen las leyes. Para tal efecto, los sujetos obligados contarán con las facultades suficientes para su atención. </w:t>
      </w:r>
    </w:p>
    <w:p w14:paraId="4AFF192B" w14:textId="4370B88F" w:rsidR="00417168" w:rsidRPr="00417168" w:rsidRDefault="00040780"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i/>
          <w:iCs/>
          <w:sz w:val="22"/>
          <w:szCs w:val="22"/>
        </w:rPr>
        <w:t xml:space="preserve">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 </w:t>
      </w:r>
    </w:p>
    <w:p w14:paraId="21EE4EB9" w14:textId="7273BB06"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r w:rsidRPr="00417168">
        <w:rPr>
          <w:rFonts w:ascii="Arial" w:hAnsi="Arial" w:cs="Arial"/>
          <w:b/>
          <w:bCs/>
          <w:i/>
          <w:iCs/>
          <w:sz w:val="22"/>
          <w:szCs w:val="22"/>
        </w:rPr>
        <w:t>(…)</w:t>
      </w:r>
    </w:p>
    <w:p w14:paraId="50F41109" w14:textId="77777777"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p>
    <w:p w14:paraId="7CCB6361" w14:textId="77777777" w:rsidR="00417168" w:rsidRPr="00417168" w:rsidRDefault="00040780"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b/>
          <w:bCs/>
          <w:i/>
          <w:iCs/>
          <w:sz w:val="22"/>
          <w:szCs w:val="22"/>
        </w:rPr>
        <w:t>IV.</w:t>
      </w:r>
      <w:r w:rsidRPr="00417168">
        <w:rPr>
          <w:rFonts w:ascii="Arial" w:hAnsi="Arial" w:cs="Arial"/>
          <w:i/>
          <w:iCs/>
          <w:sz w:val="22"/>
          <w:szCs w:val="22"/>
        </w:rPr>
        <w:t xml:space="preserve"> Se establecerán mecanismos de acceso a la información pública y procedimientos de revisión expeditos que se sustanciarán ante las instancias competentes en los términos que fija esta Constitución y las leyes. </w:t>
      </w:r>
    </w:p>
    <w:p w14:paraId="710B2C53" w14:textId="77777777"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r w:rsidRPr="00417168">
        <w:rPr>
          <w:rFonts w:ascii="Arial" w:hAnsi="Arial" w:cs="Arial"/>
          <w:b/>
          <w:bCs/>
          <w:i/>
          <w:iCs/>
          <w:sz w:val="22"/>
          <w:szCs w:val="22"/>
        </w:rPr>
        <w:t>(…)</w:t>
      </w:r>
    </w:p>
    <w:p w14:paraId="0C9ECED0" w14:textId="77777777"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p>
    <w:p w14:paraId="45BA9220" w14:textId="77777777" w:rsidR="00417168" w:rsidRPr="00417168" w:rsidRDefault="00040780"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b/>
          <w:bCs/>
          <w:i/>
          <w:iCs/>
          <w:sz w:val="22"/>
          <w:szCs w:val="22"/>
        </w:rPr>
        <w:t>VIII.</w:t>
      </w:r>
      <w:r w:rsidRPr="00417168">
        <w:rPr>
          <w:rFonts w:ascii="Arial" w:hAnsi="Arial" w:cs="Arial"/>
          <w:i/>
          <w:iCs/>
          <w:sz w:val="22"/>
          <w:szCs w:val="22"/>
        </w:rPr>
        <w:t xml:space="preserve"> </w:t>
      </w:r>
      <w:r w:rsidR="00417168" w:rsidRPr="00417168">
        <w:rPr>
          <w:rFonts w:ascii="Arial" w:hAnsi="Arial" w:cs="Arial"/>
          <w:i/>
          <w:iCs/>
          <w:sz w:val="22"/>
          <w:szCs w:val="22"/>
        </w:rPr>
        <w:t xml:space="preserve">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 </w:t>
      </w:r>
    </w:p>
    <w:p w14:paraId="7B1570D9" w14:textId="77777777" w:rsidR="00417168" w:rsidRPr="00417168" w:rsidRDefault="00417168" w:rsidP="003E55BF">
      <w:pPr>
        <w:pStyle w:val="Prrafodelista"/>
        <w:spacing w:line="276" w:lineRule="auto"/>
        <w:ind w:left="1437"/>
        <w:contextualSpacing w:val="0"/>
        <w:jc w:val="both"/>
        <w:rPr>
          <w:rFonts w:ascii="Arial" w:hAnsi="Arial" w:cs="Arial"/>
          <w:i/>
          <w:iCs/>
          <w:sz w:val="22"/>
          <w:szCs w:val="22"/>
        </w:rPr>
      </w:pPr>
    </w:p>
    <w:p w14:paraId="029E338E" w14:textId="77777777" w:rsidR="00417168" w:rsidRPr="00417168" w:rsidRDefault="00417168"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i/>
          <w:iCs/>
          <w:sz w:val="22"/>
          <w:szCs w:val="22"/>
        </w:rPr>
        <w:t xml:space="preserve">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 </w:t>
      </w:r>
    </w:p>
    <w:p w14:paraId="69DC8218" w14:textId="77777777" w:rsidR="00417168" w:rsidRPr="00417168" w:rsidRDefault="00417168" w:rsidP="003E55BF">
      <w:pPr>
        <w:pStyle w:val="Prrafodelista"/>
        <w:spacing w:line="276" w:lineRule="auto"/>
        <w:ind w:left="1437"/>
        <w:contextualSpacing w:val="0"/>
        <w:jc w:val="both"/>
        <w:rPr>
          <w:rFonts w:ascii="Arial" w:hAnsi="Arial" w:cs="Arial"/>
          <w:i/>
          <w:iCs/>
          <w:sz w:val="22"/>
          <w:szCs w:val="22"/>
        </w:rPr>
      </w:pPr>
    </w:p>
    <w:p w14:paraId="4DC3AA54" w14:textId="77777777" w:rsidR="00417168" w:rsidRPr="00417168" w:rsidRDefault="00417168"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i/>
          <w:iCs/>
          <w:sz w:val="22"/>
          <w:szCs w:val="22"/>
        </w:rPr>
        <w:t>La ley establecerá aquella información que se considere reservada o confidencial.</w:t>
      </w:r>
    </w:p>
    <w:p w14:paraId="6F1C4DB7" w14:textId="724A5F5B"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r w:rsidRPr="00417168">
        <w:rPr>
          <w:rFonts w:ascii="Arial" w:hAnsi="Arial" w:cs="Arial"/>
          <w:b/>
          <w:bCs/>
          <w:i/>
          <w:iCs/>
          <w:sz w:val="22"/>
          <w:szCs w:val="22"/>
        </w:rPr>
        <w:t>(…)</w:t>
      </w:r>
    </w:p>
    <w:p w14:paraId="113D7434" w14:textId="77777777" w:rsidR="00417168" w:rsidRPr="00417168" w:rsidRDefault="00417168" w:rsidP="003E55BF">
      <w:pPr>
        <w:pStyle w:val="Prrafodelista"/>
        <w:spacing w:line="276" w:lineRule="auto"/>
        <w:ind w:left="1437"/>
        <w:contextualSpacing w:val="0"/>
        <w:jc w:val="both"/>
        <w:rPr>
          <w:rFonts w:ascii="Arial" w:hAnsi="Arial" w:cs="Arial"/>
          <w:i/>
          <w:iCs/>
          <w:sz w:val="22"/>
          <w:szCs w:val="22"/>
        </w:rPr>
      </w:pPr>
    </w:p>
    <w:p w14:paraId="7360F921" w14:textId="7A9A8433" w:rsidR="00040780" w:rsidRPr="00417168" w:rsidRDefault="00040780"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b/>
          <w:bCs/>
          <w:i/>
          <w:iCs/>
          <w:sz w:val="22"/>
          <w:szCs w:val="22"/>
        </w:rPr>
        <w:t>Artículo 116</w:t>
      </w:r>
      <w:r w:rsidRPr="00417168">
        <w:rPr>
          <w:rFonts w:ascii="Arial" w:hAnsi="Arial" w:cs="Arial"/>
          <w:i/>
          <w:iCs/>
          <w:sz w:val="22"/>
          <w:szCs w:val="22"/>
        </w:rPr>
        <w:t xml:space="preserve">. </w:t>
      </w:r>
      <w:r w:rsidR="00417168" w:rsidRPr="00417168">
        <w:rPr>
          <w:rFonts w:ascii="Arial" w:hAnsi="Arial" w:cs="Arial"/>
          <w:i/>
          <w:iCs/>
          <w:sz w:val="22"/>
          <w:szCs w:val="22"/>
        </w:rPr>
        <w:t>(…)</w:t>
      </w:r>
    </w:p>
    <w:p w14:paraId="50FD5B56" w14:textId="1FCE338C" w:rsidR="00417168" w:rsidRPr="00417168" w:rsidRDefault="00417168"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b/>
          <w:bCs/>
          <w:i/>
          <w:iCs/>
          <w:sz w:val="22"/>
          <w:szCs w:val="22"/>
        </w:rPr>
        <w:t>VIII.</w:t>
      </w:r>
      <w:r w:rsidRPr="00417168">
        <w:rPr>
          <w:rFonts w:ascii="Arial" w:hAnsi="Arial" w:cs="Arial"/>
          <w:i/>
          <w:iCs/>
          <w:sz w:val="22"/>
          <w:szCs w:val="22"/>
        </w:rPr>
        <w:t xml:space="preserve"> Las Constituciones de los Estados en términos de la ley general, definirán la competencia de los órganos encargados de la contraloría u homólogos de los poderes ejecutivo, legislativo y judicial y demás sujetos obligados responsables de garantizar el derecho de acceso a la información pública y de protección de datos personales en posesión de los sujetos </w:t>
      </w:r>
      <w:r w:rsidRPr="00417168">
        <w:rPr>
          <w:rFonts w:ascii="Arial" w:hAnsi="Arial" w:cs="Arial"/>
          <w:i/>
          <w:iCs/>
          <w:sz w:val="22"/>
          <w:szCs w:val="22"/>
        </w:rPr>
        <w:lastRenderedPageBreak/>
        <w:t>obligados, conforme a los principios y bases establecidos por el artículo 6o. de esta Constitución y la ley general que emita el Congreso de la Unión para establecer las bases, principios generales y procedimientos del ejercicio de este derecho.</w:t>
      </w:r>
    </w:p>
    <w:p w14:paraId="74ACE072" w14:textId="77777777" w:rsidR="00417168" w:rsidRPr="00417168" w:rsidRDefault="00040780"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i/>
          <w:iCs/>
          <w:sz w:val="22"/>
          <w:szCs w:val="22"/>
        </w:rPr>
        <w:t xml:space="preserve">Artículo </w:t>
      </w:r>
      <w:r w:rsidRPr="00417168">
        <w:rPr>
          <w:rFonts w:ascii="Arial" w:hAnsi="Arial" w:cs="Arial"/>
          <w:b/>
          <w:bCs/>
          <w:i/>
          <w:iCs/>
          <w:sz w:val="22"/>
          <w:szCs w:val="22"/>
        </w:rPr>
        <w:t>123.</w:t>
      </w:r>
      <w:r w:rsidRPr="00417168">
        <w:rPr>
          <w:rFonts w:ascii="Arial" w:hAnsi="Arial" w:cs="Arial"/>
          <w:i/>
          <w:iCs/>
          <w:sz w:val="22"/>
          <w:szCs w:val="22"/>
        </w:rPr>
        <w:t xml:space="preserve"> </w:t>
      </w:r>
      <w:r w:rsidR="00417168" w:rsidRPr="00417168">
        <w:rPr>
          <w:rFonts w:ascii="Arial" w:hAnsi="Arial" w:cs="Arial"/>
          <w:i/>
          <w:iCs/>
          <w:sz w:val="22"/>
          <w:szCs w:val="22"/>
        </w:rPr>
        <w:t>(…)</w:t>
      </w:r>
    </w:p>
    <w:p w14:paraId="1B6EFFE5" w14:textId="444B9406"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r w:rsidRPr="00417168">
        <w:rPr>
          <w:rFonts w:ascii="Arial" w:hAnsi="Arial" w:cs="Arial"/>
          <w:b/>
          <w:bCs/>
          <w:i/>
          <w:iCs/>
          <w:sz w:val="22"/>
          <w:szCs w:val="22"/>
        </w:rPr>
        <w:t>(…)</w:t>
      </w:r>
    </w:p>
    <w:p w14:paraId="51F39C4E" w14:textId="77777777" w:rsidR="00417168" w:rsidRPr="00417168" w:rsidRDefault="00040780" w:rsidP="003E55BF">
      <w:pPr>
        <w:pStyle w:val="Prrafodelista"/>
        <w:spacing w:line="276" w:lineRule="auto"/>
        <w:ind w:left="1437"/>
        <w:contextualSpacing w:val="0"/>
        <w:jc w:val="both"/>
        <w:rPr>
          <w:rFonts w:ascii="Arial" w:hAnsi="Arial" w:cs="Arial"/>
          <w:b/>
          <w:bCs/>
          <w:i/>
          <w:iCs/>
          <w:sz w:val="22"/>
          <w:szCs w:val="22"/>
        </w:rPr>
      </w:pPr>
      <w:r w:rsidRPr="00417168">
        <w:rPr>
          <w:rFonts w:ascii="Arial" w:hAnsi="Arial" w:cs="Arial"/>
          <w:b/>
          <w:bCs/>
          <w:i/>
          <w:iCs/>
          <w:sz w:val="22"/>
          <w:szCs w:val="22"/>
        </w:rPr>
        <w:t xml:space="preserve">XX. </w:t>
      </w:r>
    </w:p>
    <w:p w14:paraId="4D991AAE" w14:textId="227A8957"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r w:rsidRPr="00417168">
        <w:rPr>
          <w:rFonts w:ascii="Arial" w:hAnsi="Arial" w:cs="Arial"/>
          <w:b/>
          <w:bCs/>
          <w:i/>
          <w:iCs/>
          <w:sz w:val="22"/>
          <w:szCs w:val="22"/>
        </w:rPr>
        <w:t>(…)</w:t>
      </w:r>
    </w:p>
    <w:p w14:paraId="5BF76B2E" w14:textId="735CE3B9" w:rsidR="00040780" w:rsidRPr="00417168" w:rsidRDefault="00040780" w:rsidP="003E55BF">
      <w:pPr>
        <w:pStyle w:val="Prrafodelista"/>
        <w:spacing w:line="276" w:lineRule="auto"/>
        <w:ind w:left="1437"/>
        <w:contextualSpacing w:val="0"/>
        <w:jc w:val="both"/>
        <w:rPr>
          <w:rFonts w:ascii="Arial" w:hAnsi="Arial" w:cs="Arial"/>
          <w:i/>
          <w:iCs/>
          <w:sz w:val="22"/>
          <w:szCs w:val="22"/>
        </w:rPr>
      </w:pPr>
      <w:r w:rsidRPr="00417168">
        <w:rPr>
          <w:rFonts w:ascii="Arial" w:hAnsi="Arial" w:cs="Arial"/>
          <w:i/>
          <w:iCs/>
          <w:sz w:val="22"/>
          <w:szCs w:val="22"/>
        </w:rPr>
        <w:t xml:space="preserve">El organismo descentralizado federal también tendrá competencia para conocer de los asuntos relacionados con el acceso a la información pública de los sindicatos y conocerá de los recursos de revisión que interpongan los particulares respecto de las resoluciones de </w:t>
      </w:r>
      <w:proofErr w:type="gramStart"/>
      <w:r w:rsidRPr="00417168">
        <w:rPr>
          <w:rFonts w:ascii="Arial" w:hAnsi="Arial" w:cs="Arial"/>
          <w:i/>
          <w:iCs/>
          <w:sz w:val="22"/>
          <w:szCs w:val="22"/>
        </w:rPr>
        <w:t>los mismos</w:t>
      </w:r>
      <w:proofErr w:type="gramEnd"/>
      <w:r w:rsidRPr="00417168">
        <w:rPr>
          <w:rFonts w:ascii="Arial" w:hAnsi="Arial" w:cs="Arial"/>
          <w:i/>
          <w:iCs/>
          <w:sz w:val="22"/>
          <w:szCs w:val="22"/>
        </w:rPr>
        <w:t>.</w:t>
      </w:r>
    </w:p>
    <w:p w14:paraId="2FFEF618" w14:textId="2169DF53" w:rsidR="00417168" w:rsidRPr="00417168" w:rsidRDefault="00417168" w:rsidP="003E55BF">
      <w:pPr>
        <w:pStyle w:val="Prrafodelista"/>
        <w:spacing w:line="276" w:lineRule="auto"/>
        <w:ind w:left="1437"/>
        <w:contextualSpacing w:val="0"/>
        <w:jc w:val="both"/>
        <w:rPr>
          <w:rFonts w:ascii="Arial" w:hAnsi="Arial" w:cs="Arial"/>
          <w:b/>
          <w:bCs/>
          <w:i/>
          <w:iCs/>
          <w:sz w:val="22"/>
          <w:szCs w:val="22"/>
        </w:rPr>
      </w:pPr>
      <w:r w:rsidRPr="00417168">
        <w:rPr>
          <w:rFonts w:ascii="Arial" w:hAnsi="Arial" w:cs="Arial"/>
          <w:b/>
          <w:bCs/>
          <w:i/>
          <w:iCs/>
          <w:sz w:val="22"/>
          <w:szCs w:val="22"/>
        </w:rPr>
        <w:t>(…)</w:t>
      </w:r>
    </w:p>
    <w:p w14:paraId="6FE9D9BD" w14:textId="77777777" w:rsidR="00040780" w:rsidRPr="00482F3A" w:rsidRDefault="00040780" w:rsidP="003E55BF">
      <w:pPr>
        <w:pStyle w:val="Prrafodelista"/>
        <w:spacing w:line="276" w:lineRule="auto"/>
        <w:ind w:left="1437"/>
        <w:contextualSpacing w:val="0"/>
        <w:jc w:val="both"/>
        <w:rPr>
          <w:rFonts w:ascii="Arial" w:hAnsi="Arial" w:cs="Arial"/>
          <w:sz w:val="22"/>
          <w:szCs w:val="22"/>
        </w:rPr>
      </w:pPr>
    </w:p>
    <w:p w14:paraId="15DE837F" w14:textId="2EB82F78" w:rsidR="0071013F" w:rsidRDefault="00482F3A" w:rsidP="003E55BF">
      <w:pPr>
        <w:pStyle w:val="Prrafodelista"/>
        <w:numPr>
          <w:ilvl w:val="0"/>
          <w:numId w:val="1"/>
        </w:numPr>
        <w:spacing w:line="276" w:lineRule="auto"/>
        <w:ind w:left="1077"/>
        <w:contextualSpacing w:val="0"/>
        <w:jc w:val="both"/>
        <w:rPr>
          <w:rFonts w:ascii="Arial" w:hAnsi="Arial" w:cs="Arial"/>
          <w:sz w:val="22"/>
          <w:szCs w:val="22"/>
        </w:rPr>
      </w:pPr>
      <w:r w:rsidRPr="00482F3A">
        <w:rPr>
          <w:rFonts w:ascii="Arial" w:hAnsi="Arial" w:cs="Arial"/>
          <w:sz w:val="22"/>
          <w:szCs w:val="22"/>
        </w:rPr>
        <w:t>Que en</w:t>
      </w:r>
      <w:r w:rsidR="00E41845" w:rsidRPr="00482F3A">
        <w:rPr>
          <w:rFonts w:ascii="Arial" w:hAnsi="Arial" w:cs="Arial"/>
          <w:sz w:val="22"/>
          <w:szCs w:val="22"/>
        </w:rPr>
        <w:t xml:space="preserve"> fecha 20 de marzo de dos mil veinticinco se pública en el Diario Oficial de la Federación la Ley General de Transparencia y Acceso a la Información Pública, la Ley General de Protección de Datos Personales en Posesión de Sujetos Obligados y la Ley Federal de Protección de Datos Personales en Posesión de los Particulares y reforma la fracción XV del artículo 37 de la Ley Orgánica de la Administración Pública Federal.</w:t>
      </w:r>
    </w:p>
    <w:p w14:paraId="79B997EE" w14:textId="77777777" w:rsidR="00417168" w:rsidRPr="00482F3A" w:rsidRDefault="00417168" w:rsidP="003E55BF">
      <w:pPr>
        <w:pStyle w:val="Prrafodelista"/>
        <w:spacing w:line="276" w:lineRule="auto"/>
        <w:ind w:left="1077"/>
        <w:contextualSpacing w:val="0"/>
        <w:jc w:val="both"/>
        <w:rPr>
          <w:rFonts w:ascii="Arial" w:hAnsi="Arial" w:cs="Arial"/>
          <w:sz w:val="22"/>
          <w:szCs w:val="22"/>
        </w:rPr>
      </w:pPr>
    </w:p>
    <w:p w14:paraId="4500D6BE" w14:textId="1A91242B" w:rsidR="00E41845" w:rsidRPr="00482F3A" w:rsidRDefault="00482F3A" w:rsidP="003E55BF">
      <w:pPr>
        <w:pStyle w:val="Prrafodelista"/>
        <w:numPr>
          <w:ilvl w:val="0"/>
          <w:numId w:val="1"/>
        </w:numPr>
        <w:spacing w:line="276" w:lineRule="auto"/>
        <w:ind w:left="1077"/>
        <w:contextualSpacing w:val="0"/>
        <w:jc w:val="both"/>
        <w:rPr>
          <w:rFonts w:ascii="Arial" w:hAnsi="Arial" w:cs="Arial"/>
          <w:sz w:val="22"/>
          <w:szCs w:val="22"/>
        </w:rPr>
      </w:pPr>
      <w:r w:rsidRPr="00482F3A">
        <w:rPr>
          <w:rFonts w:ascii="Arial" w:hAnsi="Arial" w:cs="Arial"/>
          <w:sz w:val="22"/>
          <w:szCs w:val="22"/>
        </w:rPr>
        <w:t>Que p</w:t>
      </w:r>
      <w:r w:rsidR="0071013F" w:rsidRPr="00482F3A">
        <w:rPr>
          <w:rFonts w:ascii="Arial" w:hAnsi="Arial" w:cs="Arial"/>
          <w:sz w:val="22"/>
          <w:szCs w:val="22"/>
        </w:rPr>
        <w:t xml:space="preserve">or su parte </w:t>
      </w:r>
      <w:r w:rsidR="00E41845" w:rsidRPr="00482F3A">
        <w:rPr>
          <w:rFonts w:ascii="Arial" w:hAnsi="Arial" w:cs="Arial"/>
          <w:sz w:val="22"/>
          <w:szCs w:val="22"/>
        </w:rPr>
        <w:t>en los</w:t>
      </w:r>
      <w:r w:rsidRPr="00482F3A">
        <w:rPr>
          <w:rFonts w:ascii="Arial" w:hAnsi="Arial" w:cs="Arial"/>
          <w:sz w:val="22"/>
          <w:szCs w:val="22"/>
        </w:rPr>
        <w:t xml:space="preserve"> artículos</w:t>
      </w:r>
      <w:r w:rsidR="00E41845" w:rsidRPr="00482F3A">
        <w:rPr>
          <w:rFonts w:ascii="Arial" w:hAnsi="Arial" w:cs="Arial"/>
          <w:sz w:val="22"/>
          <w:szCs w:val="22"/>
        </w:rPr>
        <w:t xml:space="preserve"> Transitorios de la Ley anteriormente citada se contemplan</w:t>
      </w:r>
      <w:r w:rsidRPr="00482F3A">
        <w:rPr>
          <w:rFonts w:ascii="Arial" w:hAnsi="Arial" w:cs="Arial"/>
          <w:sz w:val="22"/>
          <w:szCs w:val="22"/>
        </w:rPr>
        <w:t xml:space="preserve"> situaciones preventivas para la suspensión del cumplimiento en materia de publicación de obligaciones, como lo son</w:t>
      </w:r>
      <w:r w:rsidR="00E41845" w:rsidRPr="00482F3A">
        <w:rPr>
          <w:rFonts w:ascii="Arial" w:hAnsi="Arial" w:cs="Arial"/>
          <w:sz w:val="22"/>
          <w:szCs w:val="22"/>
        </w:rPr>
        <w:t>:</w:t>
      </w:r>
    </w:p>
    <w:p w14:paraId="23517647" w14:textId="77777777" w:rsidR="003E55BF" w:rsidRDefault="003E55BF" w:rsidP="003E55BF">
      <w:pPr>
        <w:pStyle w:val="Texto"/>
        <w:spacing w:after="0" w:line="276" w:lineRule="auto"/>
        <w:ind w:left="1080" w:firstLine="0"/>
        <w:rPr>
          <w:b/>
          <w:bCs/>
          <w:i/>
          <w:iCs/>
          <w:sz w:val="22"/>
          <w:szCs w:val="22"/>
        </w:rPr>
      </w:pPr>
    </w:p>
    <w:p w14:paraId="1B18BE5F" w14:textId="17F168E2" w:rsidR="00E41845" w:rsidRPr="00417168" w:rsidRDefault="00E41845" w:rsidP="003E55BF">
      <w:pPr>
        <w:pStyle w:val="Texto"/>
        <w:spacing w:after="0" w:line="276" w:lineRule="auto"/>
        <w:ind w:left="1080" w:firstLine="0"/>
        <w:rPr>
          <w:i/>
          <w:iCs/>
          <w:sz w:val="22"/>
          <w:szCs w:val="22"/>
        </w:rPr>
      </w:pPr>
      <w:r w:rsidRPr="00417168">
        <w:rPr>
          <w:b/>
          <w:bCs/>
          <w:i/>
          <w:iCs/>
          <w:sz w:val="22"/>
          <w:szCs w:val="22"/>
        </w:rPr>
        <w:t>Cuarto.</w:t>
      </w:r>
      <w:r w:rsidRPr="00417168">
        <w:rPr>
          <w:i/>
          <w:iCs/>
          <w:sz w:val="22"/>
          <w:szCs w:val="22"/>
        </w:rPr>
        <w:t xml:space="preserve"> Las menciones, atribuciones o funciones contenidas en otras leyes, reglamentos y, en general, en cualquier disposición normativa, respecto al Instituto Nacional de Transparencia, Acceso a la Información y Protección de Datos Personales se entenderán hechas o conferidas a los entes públicos que adquieren tales atribuciones o funciones, según corresponda.</w:t>
      </w:r>
    </w:p>
    <w:p w14:paraId="549A9233" w14:textId="77777777" w:rsidR="003E55BF" w:rsidRDefault="003E55BF" w:rsidP="003E55BF">
      <w:pPr>
        <w:pStyle w:val="Prrafodelista"/>
        <w:spacing w:line="276" w:lineRule="auto"/>
        <w:ind w:left="1077"/>
        <w:jc w:val="both"/>
        <w:rPr>
          <w:rFonts w:ascii="Arial" w:hAnsi="Arial" w:cs="Arial"/>
          <w:b/>
          <w:i/>
          <w:iCs/>
          <w:sz w:val="22"/>
          <w:szCs w:val="22"/>
          <w:lang w:val="es-ES"/>
        </w:rPr>
      </w:pPr>
    </w:p>
    <w:p w14:paraId="04FB87E9" w14:textId="073342E9" w:rsidR="00E41845" w:rsidRPr="00417168" w:rsidRDefault="00E41845" w:rsidP="003E55BF">
      <w:pPr>
        <w:pStyle w:val="Prrafodelista"/>
        <w:spacing w:line="276" w:lineRule="auto"/>
        <w:ind w:left="1077"/>
        <w:jc w:val="both"/>
        <w:rPr>
          <w:rFonts w:ascii="Arial" w:hAnsi="Arial" w:cs="Arial"/>
          <w:i/>
          <w:iCs/>
          <w:sz w:val="22"/>
          <w:szCs w:val="22"/>
          <w:lang w:val="es-ES"/>
        </w:rPr>
      </w:pPr>
      <w:proofErr w:type="gramStart"/>
      <w:r w:rsidRPr="00417168">
        <w:rPr>
          <w:rFonts w:ascii="Arial" w:hAnsi="Arial" w:cs="Arial"/>
          <w:b/>
          <w:i/>
          <w:iCs/>
          <w:sz w:val="22"/>
          <w:szCs w:val="22"/>
          <w:lang w:val="es-ES"/>
        </w:rPr>
        <w:t>Sexto.-</w:t>
      </w:r>
      <w:proofErr w:type="gramEnd"/>
      <w:r w:rsidRPr="00417168">
        <w:rPr>
          <w:rFonts w:ascii="Arial" w:hAnsi="Arial" w:cs="Arial"/>
          <w:i/>
          <w:iCs/>
          <w:sz w:val="22"/>
          <w:szCs w:val="22"/>
          <w:lang w:val="es-ES"/>
        </w:rPr>
        <w:t xml:space="preserve"> Los recursos materiales con que cuente el Instituto Nacional de Transparencia, Acceso a la Información y Protección de Datos Personales serán transferidos a la Secretaría Anticorrupción y Buen Gobierno, dentro de los veinte días hábiles siguientes a la entrada en vigor del presente Decreto.</w:t>
      </w:r>
    </w:p>
    <w:p w14:paraId="77EB32D9" w14:textId="77777777" w:rsidR="003E55BF" w:rsidRDefault="003E55BF" w:rsidP="003E55BF">
      <w:pPr>
        <w:pStyle w:val="Prrafodelista"/>
        <w:spacing w:line="276" w:lineRule="auto"/>
        <w:ind w:left="1077"/>
        <w:jc w:val="both"/>
        <w:rPr>
          <w:rFonts w:ascii="Arial" w:hAnsi="Arial" w:cs="Arial"/>
          <w:b/>
          <w:i/>
          <w:iCs/>
          <w:sz w:val="22"/>
          <w:szCs w:val="22"/>
          <w:lang w:val="es-ES"/>
        </w:rPr>
      </w:pPr>
    </w:p>
    <w:p w14:paraId="2F29B434" w14:textId="48E79926" w:rsidR="00E41845" w:rsidRPr="00417168" w:rsidRDefault="00E41845" w:rsidP="003E55BF">
      <w:pPr>
        <w:pStyle w:val="Prrafodelista"/>
        <w:spacing w:line="276" w:lineRule="auto"/>
        <w:ind w:left="1077"/>
        <w:jc w:val="both"/>
        <w:rPr>
          <w:rFonts w:ascii="Arial" w:hAnsi="Arial" w:cs="Arial"/>
          <w:i/>
          <w:iCs/>
          <w:sz w:val="22"/>
          <w:szCs w:val="22"/>
          <w:lang w:val="es-ES"/>
        </w:rPr>
      </w:pPr>
      <w:r w:rsidRPr="00417168">
        <w:rPr>
          <w:rFonts w:ascii="Arial" w:hAnsi="Arial" w:cs="Arial"/>
          <w:b/>
          <w:i/>
          <w:iCs/>
          <w:sz w:val="22"/>
          <w:szCs w:val="22"/>
          <w:lang w:val="es-ES"/>
        </w:rPr>
        <w:t>Octavo.-</w:t>
      </w:r>
      <w:r w:rsidRPr="00417168">
        <w:rPr>
          <w:rFonts w:ascii="Arial" w:hAnsi="Arial" w:cs="Arial"/>
          <w:i/>
          <w:iCs/>
          <w:sz w:val="22"/>
          <w:szCs w:val="22"/>
          <w:lang w:val="es-ES"/>
        </w:rPr>
        <w:t xml:space="preserve"> Los registros, padrones y sistemas, internos y externos, que integran la Plataforma Nacional de Transparencia con los que cuenta el Instituto Nacional de Transparencia, Acceso a la Información y Protección de Datos Personales, así como los sistemas informáticos utilizados por dicho Instituto, incluso los que </w:t>
      </w:r>
      <w:r w:rsidRPr="00417168">
        <w:rPr>
          <w:rFonts w:ascii="Arial" w:hAnsi="Arial" w:cs="Arial"/>
          <w:i/>
          <w:iCs/>
          <w:sz w:val="22"/>
          <w:szCs w:val="22"/>
          <w:lang w:val="es-ES"/>
        </w:rPr>
        <w:lastRenderedPageBreak/>
        <w:t>ya no se utilicen pero contengan registros históricos, incluida su documentación y titularidad, serán transferidos a la Secretaría Anticorrupción y Buen Gobierno dentro de los quince días hábiles siguientes a la entrada en vigor del presente Decreto.</w:t>
      </w:r>
    </w:p>
    <w:p w14:paraId="557C82EE" w14:textId="77777777" w:rsidR="003E55BF" w:rsidRDefault="003E55BF" w:rsidP="003E55BF">
      <w:pPr>
        <w:pStyle w:val="Prrafodelista"/>
        <w:spacing w:line="276" w:lineRule="auto"/>
        <w:ind w:left="1077"/>
        <w:jc w:val="both"/>
        <w:rPr>
          <w:rFonts w:ascii="Arial" w:hAnsi="Arial" w:cs="Arial"/>
          <w:b/>
          <w:i/>
          <w:iCs/>
          <w:sz w:val="22"/>
          <w:szCs w:val="22"/>
          <w:lang w:val="es-ES"/>
        </w:rPr>
      </w:pPr>
    </w:p>
    <w:p w14:paraId="6DF2EFDA" w14:textId="150AAC31" w:rsidR="00E41845" w:rsidRPr="00417168" w:rsidRDefault="00E41845" w:rsidP="003E55BF">
      <w:pPr>
        <w:pStyle w:val="Prrafodelista"/>
        <w:spacing w:line="276" w:lineRule="auto"/>
        <w:ind w:left="1077"/>
        <w:jc w:val="both"/>
        <w:rPr>
          <w:rFonts w:ascii="Arial" w:hAnsi="Arial" w:cs="Arial"/>
          <w:i/>
          <w:iCs/>
          <w:sz w:val="22"/>
          <w:szCs w:val="22"/>
          <w:lang w:val="es-ES"/>
        </w:rPr>
      </w:pPr>
      <w:proofErr w:type="gramStart"/>
      <w:r w:rsidRPr="00417168">
        <w:rPr>
          <w:rFonts w:ascii="Arial" w:hAnsi="Arial" w:cs="Arial"/>
          <w:b/>
          <w:i/>
          <w:iCs/>
          <w:sz w:val="22"/>
          <w:szCs w:val="22"/>
          <w:lang w:val="es-ES"/>
        </w:rPr>
        <w:t>Noveno.-</w:t>
      </w:r>
      <w:proofErr w:type="gramEnd"/>
      <w:r w:rsidRPr="00417168">
        <w:rPr>
          <w:rFonts w:ascii="Arial" w:hAnsi="Arial" w:cs="Arial"/>
          <w:i/>
          <w:iCs/>
          <w:sz w:val="22"/>
          <w:szCs w:val="22"/>
          <w:lang w:val="es-ES"/>
        </w:rPr>
        <w:t xml:space="preserve"> Los procedimientos iniciados con anterioridad a la entrada en vigor de este Decreto ante el Instituto Nacional de Transparencia, Acceso a la Información y Protección de Datos Personales, en materia de acceso a la información pública, se sustanciarán ante Transparencia para el Pueblo conforme a las disposiciones aplicables vigentes al momento de su inicio.</w:t>
      </w:r>
    </w:p>
    <w:p w14:paraId="1BE86A8B" w14:textId="77777777" w:rsidR="00E41845" w:rsidRPr="00417168" w:rsidRDefault="00E41845" w:rsidP="003E55BF">
      <w:pPr>
        <w:pStyle w:val="Prrafodelista"/>
        <w:spacing w:line="276" w:lineRule="auto"/>
        <w:ind w:left="1077"/>
        <w:jc w:val="both"/>
        <w:rPr>
          <w:rFonts w:ascii="Arial" w:hAnsi="Arial" w:cs="Arial"/>
          <w:i/>
          <w:iCs/>
          <w:sz w:val="22"/>
          <w:szCs w:val="22"/>
          <w:lang w:val="es-ES"/>
        </w:rPr>
      </w:pPr>
      <w:r w:rsidRPr="00417168">
        <w:rPr>
          <w:rFonts w:ascii="Arial" w:hAnsi="Arial" w:cs="Arial"/>
          <w:i/>
          <w:iCs/>
          <w:sz w:val="22"/>
          <w:szCs w:val="22"/>
          <w:lang w:val="es-ES"/>
        </w:rPr>
        <w:t>La defensa legal ante autoridades administrativas, jurisdiccionales y judiciales de los actos administrativos y jurídicos emitidos por el Instituto Nacional de Transparencia, Acceso a la Información y Protección de Datos Personales, en materia de acceso a la información pública, se llevará a cabo por Transparencia para el Pueblo.</w:t>
      </w:r>
    </w:p>
    <w:p w14:paraId="397F30F6" w14:textId="77777777" w:rsidR="003E55BF" w:rsidRDefault="003E55BF" w:rsidP="003E55BF">
      <w:pPr>
        <w:pStyle w:val="Prrafodelista"/>
        <w:spacing w:line="276" w:lineRule="auto"/>
        <w:ind w:left="1077"/>
        <w:jc w:val="both"/>
        <w:rPr>
          <w:rFonts w:ascii="Arial" w:hAnsi="Arial" w:cs="Arial"/>
          <w:i/>
          <w:iCs/>
          <w:sz w:val="22"/>
          <w:szCs w:val="22"/>
          <w:lang w:val="es-ES"/>
        </w:rPr>
      </w:pPr>
    </w:p>
    <w:p w14:paraId="3E4C2326" w14:textId="24B7C7F8" w:rsidR="00E41845" w:rsidRPr="00417168" w:rsidRDefault="00E41845" w:rsidP="003E55BF">
      <w:pPr>
        <w:pStyle w:val="Prrafodelista"/>
        <w:spacing w:line="276" w:lineRule="auto"/>
        <w:ind w:left="1077"/>
        <w:jc w:val="both"/>
        <w:rPr>
          <w:rFonts w:ascii="Arial" w:hAnsi="Arial" w:cs="Arial"/>
          <w:i/>
          <w:iCs/>
          <w:sz w:val="22"/>
          <w:szCs w:val="22"/>
          <w:lang w:val="es-ES"/>
        </w:rPr>
      </w:pPr>
      <w:r w:rsidRPr="00417168">
        <w:rPr>
          <w:rFonts w:ascii="Arial" w:hAnsi="Arial" w:cs="Arial"/>
          <w:i/>
          <w:iCs/>
          <w:sz w:val="22"/>
          <w:szCs w:val="22"/>
          <w:lang w:val="es-ES"/>
        </w:rPr>
        <w:t>Transparencia para el Pueblo podrá remitir a la Autoridad garante competente aquellos asuntos que se mencionan en los párrafos anteriores que le corresponda conforme al ámbito de sus atribuciones para su atención.</w:t>
      </w:r>
    </w:p>
    <w:p w14:paraId="395B8543" w14:textId="77777777" w:rsidR="003E55BF" w:rsidRDefault="003E55BF" w:rsidP="003E55BF">
      <w:pPr>
        <w:pStyle w:val="Prrafodelista"/>
        <w:spacing w:line="276" w:lineRule="auto"/>
        <w:ind w:left="1077"/>
        <w:jc w:val="both"/>
        <w:rPr>
          <w:rFonts w:ascii="Arial" w:hAnsi="Arial" w:cs="Arial"/>
          <w:b/>
          <w:i/>
          <w:iCs/>
          <w:sz w:val="22"/>
          <w:szCs w:val="22"/>
          <w:lang w:val="es-ES"/>
        </w:rPr>
      </w:pPr>
    </w:p>
    <w:p w14:paraId="09ED3BAE" w14:textId="5F862C3A" w:rsidR="00E41845" w:rsidRPr="00417168" w:rsidRDefault="00E41845" w:rsidP="003E55BF">
      <w:pPr>
        <w:pStyle w:val="Prrafodelista"/>
        <w:spacing w:line="276" w:lineRule="auto"/>
        <w:ind w:left="1077"/>
        <w:jc w:val="both"/>
        <w:rPr>
          <w:rFonts w:ascii="Arial" w:hAnsi="Arial" w:cs="Arial"/>
          <w:i/>
          <w:iCs/>
          <w:sz w:val="22"/>
          <w:szCs w:val="22"/>
          <w:lang w:val="es-ES"/>
        </w:rPr>
      </w:pPr>
      <w:proofErr w:type="gramStart"/>
      <w:r w:rsidRPr="00417168">
        <w:rPr>
          <w:rFonts w:ascii="Arial" w:hAnsi="Arial" w:cs="Arial"/>
          <w:b/>
          <w:i/>
          <w:iCs/>
          <w:sz w:val="22"/>
          <w:szCs w:val="22"/>
          <w:lang w:val="es-ES"/>
        </w:rPr>
        <w:t>Décimo.-</w:t>
      </w:r>
      <w:proofErr w:type="gramEnd"/>
      <w:r w:rsidRPr="00417168">
        <w:rPr>
          <w:rFonts w:ascii="Arial" w:hAnsi="Arial" w:cs="Arial"/>
          <w:i/>
          <w:iCs/>
          <w:sz w:val="22"/>
          <w:szCs w:val="22"/>
          <w:lang w:val="es-ES"/>
        </w:rPr>
        <w:t xml:space="preserve"> Los procedimientos iniciados con anterioridad a la entrada en vigor de este Decreto ante el Instituto Nacional de Transparencia, Acceso a la Información y Protección de Datos Personales, en materia de datos personales o cualquier otra distinta a la mencionada en el transitorio anterior, se sustanciarán conforme a las disposiciones vigentes al momento de su inicio ante la Secretaría Anticorrupción y Buen Gobierno a que se refiere este Decreto.</w:t>
      </w:r>
    </w:p>
    <w:p w14:paraId="2C156539" w14:textId="77777777" w:rsidR="003E55BF" w:rsidRDefault="003E55BF" w:rsidP="003E55BF">
      <w:pPr>
        <w:pStyle w:val="Prrafodelista"/>
        <w:spacing w:line="276" w:lineRule="auto"/>
        <w:ind w:left="1077"/>
        <w:jc w:val="both"/>
        <w:rPr>
          <w:rFonts w:ascii="Arial" w:hAnsi="Arial" w:cs="Arial"/>
          <w:i/>
          <w:iCs/>
          <w:sz w:val="22"/>
          <w:szCs w:val="22"/>
          <w:lang w:val="es-ES"/>
        </w:rPr>
      </w:pPr>
    </w:p>
    <w:p w14:paraId="6D1731A3" w14:textId="07142D2A" w:rsidR="00E41845" w:rsidRPr="00417168" w:rsidRDefault="00E41845" w:rsidP="003E55BF">
      <w:pPr>
        <w:pStyle w:val="Prrafodelista"/>
        <w:spacing w:line="276" w:lineRule="auto"/>
        <w:ind w:left="1077"/>
        <w:jc w:val="both"/>
        <w:rPr>
          <w:rFonts w:ascii="Arial" w:hAnsi="Arial" w:cs="Arial"/>
          <w:i/>
          <w:iCs/>
          <w:sz w:val="22"/>
          <w:szCs w:val="22"/>
          <w:lang w:val="es-ES"/>
        </w:rPr>
      </w:pPr>
      <w:r w:rsidRPr="00417168">
        <w:rPr>
          <w:rFonts w:ascii="Arial" w:hAnsi="Arial" w:cs="Arial"/>
          <w:i/>
          <w:iCs/>
          <w:sz w:val="22"/>
          <w:szCs w:val="22"/>
          <w:lang w:val="es-ES"/>
        </w:rPr>
        <w:t>La defensa legal ante autoridades administrativas, jurisdiccionales o judiciales de los actos administrativos y jurídicos emitidos por el Instituto Nacional de Transparencia, Acceso a la Información y Protección de Datos Personales, en materia de datos personales o cualquier otra distinta a la mencionada en el transitorio anterior, así como el seguimiento de los que se encuentren en trámite, incluso los procedimientos penales y laborales, se llevará a cabo por la Secretaría Anticorrupción y Buen Gobierno.</w:t>
      </w:r>
    </w:p>
    <w:p w14:paraId="5F22AFCD" w14:textId="77777777" w:rsidR="003E55BF" w:rsidRDefault="003E55BF" w:rsidP="003E55BF">
      <w:pPr>
        <w:pStyle w:val="Prrafodelista"/>
        <w:spacing w:line="276" w:lineRule="auto"/>
        <w:ind w:left="1077"/>
        <w:jc w:val="both"/>
        <w:rPr>
          <w:rFonts w:ascii="Arial" w:hAnsi="Arial" w:cs="Arial"/>
          <w:i/>
          <w:iCs/>
          <w:sz w:val="22"/>
          <w:szCs w:val="22"/>
          <w:lang w:val="es-ES"/>
        </w:rPr>
      </w:pPr>
    </w:p>
    <w:p w14:paraId="2DD83998" w14:textId="4BD901B1" w:rsidR="00E41845" w:rsidRPr="00417168" w:rsidRDefault="00E41845" w:rsidP="003E55BF">
      <w:pPr>
        <w:pStyle w:val="Prrafodelista"/>
        <w:spacing w:line="276" w:lineRule="auto"/>
        <w:ind w:left="1077"/>
        <w:jc w:val="both"/>
        <w:rPr>
          <w:rFonts w:ascii="Arial" w:hAnsi="Arial" w:cs="Arial"/>
          <w:i/>
          <w:iCs/>
          <w:sz w:val="22"/>
          <w:szCs w:val="22"/>
          <w:lang w:val="es-ES"/>
        </w:rPr>
      </w:pPr>
      <w:r w:rsidRPr="00417168">
        <w:rPr>
          <w:rFonts w:ascii="Arial" w:hAnsi="Arial" w:cs="Arial"/>
          <w:i/>
          <w:iCs/>
          <w:sz w:val="22"/>
          <w:szCs w:val="22"/>
          <w:lang w:val="es-ES"/>
        </w:rPr>
        <w:t>La Secretaría Anticorrupción y Buen Gobierno podrá remitir a la Autoridad garante competente aquellos asuntos que se mencionan en los párrafos anteriores que le corresponda conforme al ámbito de sus atribuciones para su atención.</w:t>
      </w:r>
    </w:p>
    <w:p w14:paraId="1467687F" w14:textId="6AE2D52B" w:rsidR="0071013F" w:rsidRPr="00482F3A" w:rsidRDefault="0071013F" w:rsidP="003E55BF">
      <w:pPr>
        <w:pStyle w:val="Prrafodelista"/>
        <w:spacing w:line="276" w:lineRule="auto"/>
        <w:ind w:left="1077"/>
        <w:contextualSpacing w:val="0"/>
        <w:jc w:val="both"/>
        <w:rPr>
          <w:rFonts w:ascii="Arial" w:hAnsi="Arial" w:cs="Arial"/>
          <w:sz w:val="22"/>
          <w:szCs w:val="22"/>
          <w:lang w:val="es-ES"/>
        </w:rPr>
      </w:pPr>
    </w:p>
    <w:p w14:paraId="0EEFA3C7" w14:textId="2BC95187" w:rsidR="00417168" w:rsidRDefault="00417168" w:rsidP="003E55BF">
      <w:pPr>
        <w:pStyle w:val="Prrafodelista"/>
        <w:numPr>
          <w:ilvl w:val="0"/>
          <w:numId w:val="1"/>
        </w:numPr>
        <w:spacing w:line="276" w:lineRule="auto"/>
        <w:jc w:val="both"/>
        <w:rPr>
          <w:rFonts w:ascii="Arial" w:hAnsi="Arial" w:cs="Arial"/>
          <w:sz w:val="22"/>
          <w:szCs w:val="22"/>
        </w:rPr>
      </w:pPr>
      <w:r w:rsidRPr="00417168">
        <w:rPr>
          <w:rFonts w:ascii="Arial" w:hAnsi="Arial" w:cs="Arial"/>
          <w:sz w:val="22"/>
          <w:szCs w:val="22"/>
        </w:rPr>
        <w:lastRenderedPageBreak/>
        <w:t xml:space="preserve">Derivado del cúmulo de reformas publicadas se advierte entre algunos de las cambios sustanciales que ha sufrido la materia de transparencia y acceso a la información pública es que </w:t>
      </w:r>
      <w:r>
        <w:rPr>
          <w:rFonts w:ascii="Arial" w:hAnsi="Arial" w:cs="Arial"/>
          <w:sz w:val="22"/>
          <w:szCs w:val="22"/>
        </w:rPr>
        <w:t>l</w:t>
      </w:r>
      <w:r w:rsidRPr="00417168">
        <w:rPr>
          <w:rFonts w:ascii="Arial" w:hAnsi="Arial" w:cs="Arial"/>
          <w:sz w:val="22"/>
          <w:szCs w:val="22"/>
        </w:rPr>
        <w:t xml:space="preserve">os registros, padrones y sistemas, internos y externos, que integran la Plataforma Nacional de Transparencia con los que </w:t>
      </w:r>
      <w:r>
        <w:rPr>
          <w:rFonts w:ascii="Arial" w:hAnsi="Arial" w:cs="Arial"/>
          <w:sz w:val="22"/>
          <w:szCs w:val="22"/>
        </w:rPr>
        <w:t>contaba</w:t>
      </w:r>
      <w:r w:rsidRPr="00417168">
        <w:rPr>
          <w:rFonts w:ascii="Arial" w:hAnsi="Arial" w:cs="Arial"/>
          <w:sz w:val="22"/>
          <w:szCs w:val="22"/>
        </w:rPr>
        <w:t xml:space="preserve"> el Instituto Nacional de Transparencia, Acceso a la Información y Protección de Datos Personales, así como los sistemas informáticos utilizados serán transferidos a la Secretaría Anticorrupción y Buen Gobierno</w:t>
      </w:r>
      <w:r w:rsidR="006E1AEF">
        <w:rPr>
          <w:rFonts w:ascii="Arial" w:hAnsi="Arial" w:cs="Arial"/>
          <w:sz w:val="22"/>
          <w:szCs w:val="22"/>
        </w:rPr>
        <w:t>, tal y como se estableció en la disposición transitoria octava</w:t>
      </w:r>
      <w:r>
        <w:rPr>
          <w:rFonts w:ascii="Arial" w:hAnsi="Arial" w:cs="Arial"/>
          <w:sz w:val="22"/>
          <w:szCs w:val="22"/>
        </w:rPr>
        <w:t>.</w:t>
      </w:r>
    </w:p>
    <w:p w14:paraId="1EE0E565" w14:textId="77777777" w:rsidR="00417168" w:rsidRPr="00417168" w:rsidRDefault="00417168" w:rsidP="003E55BF">
      <w:pPr>
        <w:pStyle w:val="Prrafodelista"/>
        <w:spacing w:line="276" w:lineRule="auto"/>
        <w:ind w:left="1080"/>
        <w:jc w:val="both"/>
        <w:rPr>
          <w:rFonts w:ascii="Arial" w:hAnsi="Arial" w:cs="Arial"/>
          <w:sz w:val="22"/>
          <w:szCs w:val="22"/>
        </w:rPr>
      </w:pPr>
    </w:p>
    <w:p w14:paraId="0C70FC63" w14:textId="7E627DB3" w:rsidR="00417168" w:rsidRDefault="00417168" w:rsidP="003E55BF">
      <w:pPr>
        <w:pStyle w:val="Prrafodelista"/>
        <w:numPr>
          <w:ilvl w:val="0"/>
          <w:numId w:val="1"/>
        </w:numPr>
        <w:spacing w:line="276" w:lineRule="auto"/>
        <w:jc w:val="both"/>
        <w:rPr>
          <w:rFonts w:ascii="Arial" w:hAnsi="Arial" w:cs="Arial"/>
          <w:sz w:val="22"/>
          <w:szCs w:val="22"/>
        </w:rPr>
      </w:pPr>
      <w:r>
        <w:rPr>
          <w:rFonts w:ascii="Arial" w:hAnsi="Arial" w:cs="Arial"/>
          <w:sz w:val="22"/>
          <w:szCs w:val="22"/>
        </w:rPr>
        <w:t xml:space="preserve">Por lo anterior, se advierte que a partir del día 21 de marzo de 2025, se ha observado un servicio intermitente en el funcionamiento de la Plataforma Nacional de Transparencia, y al encontrarse en proceso de transición no se </w:t>
      </w:r>
      <w:r w:rsidR="003E55BF">
        <w:rPr>
          <w:rFonts w:ascii="Arial" w:hAnsi="Arial" w:cs="Arial"/>
          <w:sz w:val="22"/>
          <w:szCs w:val="22"/>
        </w:rPr>
        <w:t>cuenta</w:t>
      </w:r>
      <w:r>
        <w:rPr>
          <w:rFonts w:ascii="Arial" w:hAnsi="Arial" w:cs="Arial"/>
          <w:sz w:val="22"/>
          <w:szCs w:val="22"/>
        </w:rPr>
        <w:t xml:space="preserve"> con personal técnico que de soporte y atienda la problemática que actualmente atraviesa dicha plataforma.</w:t>
      </w:r>
    </w:p>
    <w:p w14:paraId="666689AC" w14:textId="77777777" w:rsidR="00417168" w:rsidRDefault="00417168" w:rsidP="003E55BF">
      <w:pPr>
        <w:pStyle w:val="Prrafodelista"/>
        <w:spacing w:line="276" w:lineRule="auto"/>
        <w:ind w:left="1080"/>
        <w:jc w:val="both"/>
        <w:rPr>
          <w:rFonts w:ascii="Arial" w:hAnsi="Arial" w:cs="Arial"/>
          <w:sz w:val="22"/>
          <w:szCs w:val="22"/>
        </w:rPr>
      </w:pPr>
    </w:p>
    <w:p w14:paraId="08D2BCA8" w14:textId="614393C8" w:rsidR="00C612F8" w:rsidRPr="003E55BF" w:rsidRDefault="003E55BF" w:rsidP="003E55BF">
      <w:pPr>
        <w:pStyle w:val="Prrafodelista"/>
        <w:numPr>
          <w:ilvl w:val="0"/>
          <w:numId w:val="1"/>
        </w:numPr>
        <w:spacing w:line="276" w:lineRule="auto"/>
        <w:jc w:val="both"/>
        <w:rPr>
          <w:rFonts w:ascii="Arial" w:hAnsi="Arial" w:cs="Arial"/>
          <w:sz w:val="22"/>
          <w:szCs w:val="22"/>
        </w:rPr>
      </w:pPr>
      <w:r w:rsidRPr="003E55BF">
        <w:rPr>
          <w:rFonts w:ascii="Arial" w:hAnsi="Arial" w:cs="Arial"/>
          <w:sz w:val="22"/>
          <w:szCs w:val="22"/>
        </w:rPr>
        <w:t xml:space="preserve">En consecuencia, se advierte que los Sujetos Obligados se encuentran imposibilitados de atender las exigencias legales referente a sus obligaciones de transparencia, en virtud del deficiente funcionamiento de la Plataforma Nacional de Transparencia, lo cual impide efectuar la cargo, baja o modificación de la información que obra en la misma, sin que dicha situación sea atribuible a los Sujetos Obligados por lo que no es pertinente que el plazo para el cumplimiento de sus obligaciones siga corriendo en virtud de que se carecen de las herramientas necesarias para ello, </w:t>
      </w:r>
      <w:r w:rsidR="00482F3A" w:rsidRPr="003E55BF">
        <w:rPr>
          <w:rFonts w:ascii="Arial" w:hAnsi="Arial" w:cs="Arial"/>
          <w:sz w:val="22"/>
          <w:szCs w:val="22"/>
        </w:rPr>
        <w:t xml:space="preserve">y por </w:t>
      </w:r>
      <w:r w:rsidR="00A0505A" w:rsidRPr="003E55BF">
        <w:rPr>
          <w:rFonts w:ascii="Arial" w:hAnsi="Arial" w:cs="Arial"/>
          <w:sz w:val="22"/>
          <w:szCs w:val="22"/>
        </w:rPr>
        <w:t xml:space="preserve">tanto, </w:t>
      </w:r>
      <w:r w:rsidRPr="003E55BF">
        <w:rPr>
          <w:rFonts w:ascii="Arial" w:hAnsi="Arial" w:cs="Arial"/>
          <w:sz w:val="22"/>
          <w:szCs w:val="22"/>
        </w:rPr>
        <w:t>se expide</w:t>
      </w:r>
      <w:r>
        <w:rPr>
          <w:rFonts w:ascii="Arial" w:hAnsi="Arial" w:cs="Arial"/>
          <w:sz w:val="22"/>
          <w:szCs w:val="22"/>
        </w:rPr>
        <w:t xml:space="preserve"> </w:t>
      </w:r>
      <w:r w:rsidR="00A0505A" w:rsidRPr="003E55BF">
        <w:rPr>
          <w:rFonts w:ascii="Arial" w:hAnsi="Arial" w:cs="Arial"/>
          <w:sz w:val="22"/>
          <w:szCs w:val="22"/>
        </w:rPr>
        <w:t>el</w:t>
      </w:r>
      <w:r w:rsidR="00482F3A" w:rsidRPr="003E55BF">
        <w:rPr>
          <w:rFonts w:ascii="Arial" w:hAnsi="Arial" w:cs="Arial"/>
          <w:sz w:val="22"/>
          <w:szCs w:val="22"/>
        </w:rPr>
        <w:t xml:space="preserve"> siguiente:</w:t>
      </w:r>
    </w:p>
    <w:p w14:paraId="52A5019A" w14:textId="77777777" w:rsidR="003E55BF" w:rsidRDefault="003E55BF" w:rsidP="003E55BF">
      <w:pPr>
        <w:spacing w:line="276" w:lineRule="auto"/>
        <w:ind w:left="360"/>
        <w:jc w:val="center"/>
        <w:rPr>
          <w:rFonts w:ascii="Arial" w:hAnsi="Arial" w:cs="Arial"/>
          <w:b/>
          <w:sz w:val="22"/>
          <w:szCs w:val="22"/>
        </w:rPr>
      </w:pPr>
    </w:p>
    <w:p w14:paraId="40747568" w14:textId="77777777" w:rsidR="003E55BF" w:rsidRDefault="003E55BF" w:rsidP="003E55BF">
      <w:pPr>
        <w:spacing w:line="276" w:lineRule="auto"/>
        <w:ind w:left="360"/>
        <w:jc w:val="center"/>
        <w:rPr>
          <w:rFonts w:ascii="Arial" w:hAnsi="Arial" w:cs="Arial"/>
          <w:b/>
          <w:sz w:val="22"/>
          <w:szCs w:val="22"/>
        </w:rPr>
      </w:pPr>
    </w:p>
    <w:p w14:paraId="0F2B2545" w14:textId="77777777" w:rsidR="003E55BF" w:rsidRDefault="003E55BF" w:rsidP="003E55BF">
      <w:pPr>
        <w:spacing w:line="276" w:lineRule="auto"/>
        <w:ind w:left="360"/>
        <w:jc w:val="center"/>
        <w:rPr>
          <w:rFonts w:ascii="Arial" w:hAnsi="Arial" w:cs="Arial"/>
          <w:b/>
          <w:sz w:val="22"/>
          <w:szCs w:val="22"/>
        </w:rPr>
      </w:pPr>
    </w:p>
    <w:p w14:paraId="4481939F" w14:textId="4EC8F9FC" w:rsidR="0071013F" w:rsidRPr="00482F3A" w:rsidRDefault="0071013F" w:rsidP="003E55BF">
      <w:pPr>
        <w:spacing w:line="276" w:lineRule="auto"/>
        <w:ind w:left="360"/>
        <w:jc w:val="center"/>
        <w:rPr>
          <w:rFonts w:ascii="Arial" w:hAnsi="Arial" w:cs="Arial"/>
          <w:b/>
          <w:sz w:val="22"/>
          <w:szCs w:val="22"/>
        </w:rPr>
      </w:pPr>
      <w:r w:rsidRPr="00482F3A">
        <w:rPr>
          <w:rFonts w:ascii="Arial" w:hAnsi="Arial" w:cs="Arial"/>
          <w:b/>
          <w:sz w:val="22"/>
          <w:szCs w:val="22"/>
        </w:rPr>
        <w:t>ACUERDO:</w:t>
      </w:r>
    </w:p>
    <w:p w14:paraId="070B1BC7" w14:textId="77777777" w:rsidR="00482F3A" w:rsidRPr="00482F3A" w:rsidRDefault="00482F3A" w:rsidP="003E55BF">
      <w:pPr>
        <w:spacing w:line="276" w:lineRule="auto"/>
        <w:ind w:left="360"/>
        <w:jc w:val="center"/>
        <w:rPr>
          <w:rFonts w:ascii="Arial" w:hAnsi="Arial" w:cs="Arial"/>
          <w:b/>
          <w:sz w:val="22"/>
          <w:szCs w:val="22"/>
          <w:highlight w:val="yellow"/>
        </w:rPr>
      </w:pPr>
    </w:p>
    <w:p w14:paraId="0631FD6A" w14:textId="58F42779" w:rsidR="00482F3A" w:rsidRPr="00482F3A" w:rsidRDefault="006E1AEF" w:rsidP="003E55BF">
      <w:pPr>
        <w:spacing w:line="276" w:lineRule="auto"/>
        <w:jc w:val="both"/>
        <w:rPr>
          <w:rFonts w:ascii="Arial" w:hAnsi="Arial" w:cs="Arial"/>
          <w:bCs/>
          <w:sz w:val="22"/>
          <w:szCs w:val="22"/>
        </w:rPr>
      </w:pPr>
      <w:r>
        <w:rPr>
          <w:rFonts w:ascii="Arial" w:hAnsi="Arial" w:cs="Arial"/>
          <w:b/>
          <w:sz w:val="22"/>
          <w:szCs w:val="22"/>
        </w:rPr>
        <w:t>U</w:t>
      </w:r>
      <w:r w:rsidRPr="006E1AEF">
        <w:rPr>
          <w:rFonts w:ascii="Arial" w:hAnsi="Arial" w:cs="Arial"/>
          <w:b/>
          <w:sz w:val="22"/>
          <w:szCs w:val="22"/>
        </w:rPr>
        <w:t>NICO:</w:t>
      </w:r>
      <w:r>
        <w:rPr>
          <w:rFonts w:ascii="Arial" w:hAnsi="Arial" w:cs="Arial"/>
          <w:bCs/>
          <w:sz w:val="22"/>
          <w:szCs w:val="22"/>
        </w:rPr>
        <w:t xml:space="preserve"> </w:t>
      </w:r>
      <w:r w:rsidR="00482F3A" w:rsidRPr="00482F3A">
        <w:rPr>
          <w:rFonts w:ascii="Arial" w:hAnsi="Arial" w:cs="Arial"/>
          <w:bCs/>
          <w:sz w:val="22"/>
          <w:szCs w:val="22"/>
        </w:rPr>
        <w:t xml:space="preserve">Se suspenden los plazos </w:t>
      </w:r>
      <w:r w:rsidR="003E55BF">
        <w:rPr>
          <w:rFonts w:ascii="Arial" w:hAnsi="Arial" w:cs="Arial"/>
          <w:bCs/>
          <w:sz w:val="22"/>
          <w:szCs w:val="22"/>
        </w:rPr>
        <w:t xml:space="preserve">para efecto de que </w:t>
      </w:r>
      <w:r w:rsidR="00482F3A" w:rsidRPr="00482F3A">
        <w:rPr>
          <w:rFonts w:ascii="Arial" w:hAnsi="Arial" w:cs="Arial"/>
          <w:bCs/>
          <w:sz w:val="22"/>
          <w:szCs w:val="22"/>
        </w:rPr>
        <w:t xml:space="preserve">los </w:t>
      </w:r>
      <w:r w:rsidR="003E55BF" w:rsidRPr="00482F3A">
        <w:rPr>
          <w:rFonts w:ascii="Arial" w:hAnsi="Arial" w:cs="Arial"/>
          <w:bCs/>
          <w:sz w:val="22"/>
          <w:szCs w:val="22"/>
        </w:rPr>
        <w:t xml:space="preserve">Sujetos Obligados </w:t>
      </w:r>
      <w:r w:rsidR="00482F3A" w:rsidRPr="00482F3A">
        <w:rPr>
          <w:rFonts w:ascii="Arial" w:hAnsi="Arial" w:cs="Arial"/>
          <w:bCs/>
          <w:sz w:val="22"/>
          <w:szCs w:val="22"/>
        </w:rPr>
        <w:t xml:space="preserve">de la </w:t>
      </w:r>
      <w:r w:rsidR="003E55BF" w:rsidRPr="00482F3A">
        <w:rPr>
          <w:rFonts w:ascii="Arial" w:hAnsi="Arial" w:cs="Arial"/>
          <w:bCs/>
          <w:sz w:val="22"/>
          <w:szCs w:val="22"/>
        </w:rPr>
        <w:t xml:space="preserve">Ley </w:t>
      </w:r>
      <w:r w:rsidR="003E55BF">
        <w:rPr>
          <w:rFonts w:ascii="Arial" w:hAnsi="Arial" w:cs="Arial"/>
          <w:bCs/>
          <w:sz w:val="22"/>
          <w:szCs w:val="22"/>
        </w:rPr>
        <w:t>d</w:t>
      </w:r>
      <w:r w:rsidR="003E55BF" w:rsidRPr="00482F3A">
        <w:rPr>
          <w:rFonts w:ascii="Arial" w:hAnsi="Arial" w:cs="Arial"/>
          <w:bCs/>
          <w:sz w:val="22"/>
          <w:szCs w:val="22"/>
        </w:rPr>
        <w:t xml:space="preserve">e Transparencia </w:t>
      </w:r>
      <w:r w:rsidR="003E55BF">
        <w:rPr>
          <w:rFonts w:ascii="Arial" w:hAnsi="Arial" w:cs="Arial"/>
          <w:bCs/>
          <w:sz w:val="22"/>
          <w:szCs w:val="22"/>
        </w:rPr>
        <w:t>y</w:t>
      </w:r>
      <w:r w:rsidR="003E55BF" w:rsidRPr="00482F3A">
        <w:rPr>
          <w:rFonts w:ascii="Arial" w:hAnsi="Arial" w:cs="Arial"/>
          <w:bCs/>
          <w:sz w:val="22"/>
          <w:szCs w:val="22"/>
        </w:rPr>
        <w:t xml:space="preserve"> Acceso </w:t>
      </w:r>
      <w:r w:rsidR="003E55BF">
        <w:rPr>
          <w:rFonts w:ascii="Arial" w:hAnsi="Arial" w:cs="Arial"/>
          <w:bCs/>
          <w:sz w:val="22"/>
          <w:szCs w:val="22"/>
        </w:rPr>
        <w:t>a</w:t>
      </w:r>
      <w:r w:rsidR="003E55BF" w:rsidRPr="00482F3A">
        <w:rPr>
          <w:rFonts w:ascii="Arial" w:hAnsi="Arial" w:cs="Arial"/>
          <w:bCs/>
          <w:sz w:val="22"/>
          <w:szCs w:val="22"/>
        </w:rPr>
        <w:t xml:space="preserve"> </w:t>
      </w:r>
      <w:r w:rsidR="003E55BF">
        <w:rPr>
          <w:rFonts w:ascii="Arial" w:hAnsi="Arial" w:cs="Arial"/>
          <w:bCs/>
          <w:sz w:val="22"/>
          <w:szCs w:val="22"/>
        </w:rPr>
        <w:t>l</w:t>
      </w:r>
      <w:r w:rsidR="003E55BF" w:rsidRPr="00482F3A">
        <w:rPr>
          <w:rFonts w:ascii="Arial" w:hAnsi="Arial" w:cs="Arial"/>
          <w:bCs/>
          <w:sz w:val="22"/>
          <w:szCs w:val="22"/>
        </w:rPr>
        <w:t xml:space="preserve">a Información Pública </w:t>
      </w:r>
      <w:r w:rsidR="003E55BF">
        <w:rPr>
          <w:rFonts w:ascii="Arial" w:hAnsi="Arial" w:cs="Arial"/>
          <w:bCs/>
          <w:sz w:val="22"/>
          <w:szCs w:val="22"/>
        </w:rPr>
        <w:t>d</w:t>
      </w:r>
      <w:r w:rsidR="003E55BF" w:rsidRPr="00482F3A">
        <w:rPr>
          <w:rFonts w:ascii="Arial" w:hAnsi="Arial" w:cs="Arial"/>
          <w:bCs/>
          <w:sz w:val="22"/>
          <w:szCs w:val="22"/>
        </w:rPr>
        <w:t xml:space="preserve">el Estado </w:t>
      </w:r>
      <w:r w:rsidR="003E55BF">
        <w:rPr>
          <w:rFonts w:ascii="Arial" w:hAnsi="Arial" w:cs="Arial"/>
          <w:bCs/>
          <w:sz w:val="22"/>
          <w:szCs w:val="22"/>
        </w:rPr>
        <w:t>d</w:t>
      </w:r>
      <w:r w:rsidR="003E55BF" w:rsidRPr="00482F3A">
        <w:rPr>
          <w:rFonts w:ascii="Arial" w:hAnsi="Arial" w:cs="Arial"/>
          <w:bCs/>
          <w:sz w:val="22"/>
          <w:szCs w:val="22"/>
        </w:rPr>
        <w:t>e Chihuahua</w:t>
      </w:r>
      <w:r w:rsidR="00482F3A" w:rsidRPr="00482F3A">
        <w:rPr>
          <w:rFonts w:ascii="Arial" w:hAnsi="Arial" w:cs="Arial"/>
          <w:bCs/>
          <w:sz w:val="22"/>
          <w:szCs w:val="22"/>
        </w:rPr>
        <w:t xml:space="preserve">, contemplados en el </w:t>
      </w:r>
      <w:r w:rsidR="003E55BF" w:rsidRPr="00482F3A">
        <w:rPr>
          <w:rFonts w:ascii="Arial" w:hAnsi="Arial" w:cs="Arial"/>
          <w:bCs/>
          <w:sz w:val="22"/>
          <w:szCs w:val="22"/>
        </w:rPr>
        <w:t xml:space="preserve">Programa Anual </w:t>
      </w:r>
      <w:r w:rsidR="003E55BF">
        <w:rPr>
          <w:rFonts w:ascii="Arial" w:hAnsi="Arial" w:cs="Arial"/>
          <w:bCs/>
          <w:sz w:val="22"/>
          <w:szCs w:val="22"/>
        </w:rPr>
        <w:t>d</w:t>
      </w:r>
      <w:r w:rsidR="003E55BF" w:rsidRPr="00482F3A">
        <w:rPr>
          <w:rFonts w:ascii="Arial" w:hAnsi="Arial" w:cs="Arial"/>
          <w:bCs/>
          <w:sz w:val="22"/>
          <w:szCs w:val="22"/>
        </w:rPr>
        <w:t xml:space="preserve">e Verificación </w:t>
      </w:r>
      <w:r w:rsidR="003E55BF">
        <w:rPr>
          <w:rFonts w:ascii="Arial" w:hAnsi="Arial" w:cs="Arial"/>
          <w:bCs/>
          <w:sz w:val="22"/>
          <w:szCs w:val="22"/>
        </w:rPr>
        <w:t>d</w:t>
      </w:r>
      <w:r w:rsidR="003E55BF" w:rsidRPr="00482F3A">
        <w:rPr>
          <w:rFonts w:ascii="Arial" w:hAnsi="Arial" w:cs="Arial"/>
          <w:bCs/>
          <w:sz w:val="22"/>
          <w:szCs w:val="22"/>
        </w:rPr>
        <w:t xml:space="preserve">e Publicación </w:t>
      </w:r>
      <w:r w:rsidR="003E55BF">
        <w:rPr>
          <w:rFonts w:ascii="Arial" w:hAnsi="Arial" w:cs="Arial"/>
          <w:bCs/>
          <w:sz w:val="22"/>
          <w:szCs w:val="22"/>
        </w:rPr>
        <w:t>d</w:t>
      </w:r>
      <w:r w:rsidR="003E55BF" w:rsidRPr="00482F3A">
        <w:rPr>
          <w:rFonts w:ascii="Arial" w:hAnsi="Arial" w:cs="Arial"/>
          <w:bCs/>
          <w:sz w:val="22"/>
          <w:szCs w:val="22"/>
        </w:rPr>
        <w:t xml:space="preserve">e </w:t>
      </w:r>
      <w:r w:rsidR="003E55BF">
        <w:rPr>
          <w:rFonts w:ascii="Arial" w:hAnsi="Arial" w:cs="Arial"/>
          <w:bCs/>
          <w:sz w:val="22"/>
          <w:szCs w:val="22"/>
        </w:rPr>
        <w:t>l</w:t>
      </w:r>
      <w:r w:rsidR="003E55BF" w:rsidRPr="00482F3A">
        <w:rPr>
          <w:rFonts w:ascii="Arial" w:hAnsi="Arial" w:cs="Arial"/>
          <w:bCs/>
          <w:sz w:val="22"/>
          <w:szCs w:val="22"/>
        </w:rPr>
        <w:t xml:space="preserve">as Obligaciones </w:t>
      </w:r>
      <w:r w:rsidR="003E55BF">
        <w:rPr>
          <w:rFonts w:ascii="Arial" w:hAnsi="Arial" w:cs="Arial"/>
          <w:bCs/>
          <w:sz w:val="22"/>
          <w:szCs w:val="22"/>
        </w:rPr>
        <w:t>d</w:t>
      </w:r>
      <w:r w:rsidR="003E55BF" w:rsidRPr="00482F3A">
        <w:rPr>
          <w:rFonts w:ascii="Arial" w:hAnsi="Arial" w:cs="Arial"/>
          <w:bCs/>
          <w:sz w:val="22"/>
          <w:szCs w:val="22"/>
        </w:rPr>
        <w:t xml:space="preserve">e Transparencia </w:t>
      </w:r>
      <w:r w:rsidR="00482F3A" w:rsidRPr="00482F3A">
        <w:rPr>
          <w:rFonts w:ascii="Arial" w:hAnsi="Arial" w:cs="Arial"/>
          <w:bCs/>
          <w:sz w:val="22"/>
          <w:szCs w:val="22"/>
        </w:rPr>
        <w:t xml:space="preserve">2025, den cumplimiento a las observaciones y recomendaciones de los dictámenes de verificación, así como los relativos para la admisión y sustanciación de denuncias por incumplimiento a la publicación de las referidas obligaciones de los </w:t>
      </w:r>
      <w:r w:rsidR="003E55BF" w:rsidRPr="00482F3A">
        <w:rPr>
          <w:rFonts w:ascii="Arial" w:hAnsi="Arial" w:cs="Arial"/>
          <w:bCs/>
          <w:sz w:val="22"/>
          <w:szCs w:val="22"/>
        </w:rPr>
        <w:t>Sujetos Obligados</w:t>
      </w:r>
      <w:r w:rsidR="00482F3A" w:rsidRPr="00482F3A">
        <w:rPr>
          <w:rFonts w:ascii="Arial" w:hAnsi="Arial" w:cs="Arial"/>
          <w:bCs/>
          <w:sz w:val="22"/>
          <w:szCs w:val="22"/>
        </w:rPr>
        <w:t xml:space="preserve">, esto, hasta </w:t>
      </w:r>
      <w:r w:rsidR="003E55BF">
        <w:rPr>
          <w:rFonts w:ascii="Arial" w:hAnsi="Arial" w:cs="Arial"/>
          <w:bCs/>
          <w:sz w:val="22"/>
          <w:szCs w:val="22"/>
        </w:rPr>
        <w:t>en tanto</w:t>
      </w:r>
      <w:r w:rsidR="00482F3A" w:rsidRPr="00482F3A">
        <w:rPr>
          <w:rFonts w:ascii="Arial" w:hAnsi="Arial" w:cs="Arial"/>
          <w:bCs/>
          <w:sz w:val="22"/>
          <w:szCs w:val="22"/>
        </w:rPr>
        <w:t xml:space="preserve"> la </w:t>
      </w:r>
      <w:r w:rsidR="003E55BF" w:rsidRPr="00482F3A">
        <w:rPr>
          <w:rFonts w:ascii="Arial" w:hAnsi="Arial" w:cs="Arial"/>
          <w:bCs/>
          <w:sz w:val="22"/>
          <w:szCs w:val="22"/>
        </w:rPr>
        <w:t xml:space="preserve">Plataforma Nacional </w:t>
      </w:r>
      <w:r w:rsidR="003E55BF">
        <w:rPr>
          <w:rFonts w:ascii="Arial" w:hAnsi="Arial" w:cs="Arial"/>
          <w:bCs/>
          <w:sz w:val="22"/>
          <w:szCs w:val="22"/>
        </w:rPr>
        <w:t>d</w:t>
      </w:r>
      <w:r w:rsidR="003E55BF" w:rsidRPr="00482F3A">
        <w:rPr>
          <w:rFonts w:ascii="Arial" w:hAnsi="Arial" w:cs="Arial"/>
          <w:bCs/>
          <w:sz w:val="22"/>
          <w:szCs w:val="22"/>
        </w:rPr>
        <w:t>e Transparencia</w:t>
      </w:r>
      <w:r w:rsidR="003E55BF">
        <w:rPr>
          <w:rFonts w:ascii="Arial" w:hAnsi="Arial" w:cs="Arial"/>
          <w:bCs/>
          <w:sz w:val="22"/>
          <w:szCs w:val="22"/>
        </w:rPr>
        <w:t xml:space="preserve"> opere correctamente o bien, se emitan los sistemas digitales correspondientes para hacer frente a la problemática que se presenta</w:t>
      </w:r>
      <w:r w:rsidR="00482F3A" w:rsidRPr="00482F3A">
        <w:rPr>
          <w:rFonts w:ascii="Arial" w:hAnsi="Arial" w:cs="Arial"/>
          <w:bCs/>
          <w:sz w:val="22"/>
          <w:szCs w:val="22"/>
        </w:rPr>
        <w:t>.</w:t>
      </w:r>
    </w:p>
    <w:p w14:paraId="5B471127" w14:textId="77777777" w:rsidR="0024449E" w:rsidRPr="00482F3A" w:rsidRDefault="0024449E" w:rsidP="003E55BF">
      <w:pPr>
        <w:spacing w:line="276" w:lineRule="auto"/>
        <w:rPr>
          <w:rFonts w:ascii="Arial" w:hAnsi="Arial" w:cs="Arial"/>
          <w:b/>
          <w:sz w:val="22"/>
          <w:szCs w:val="22"/>
          <w:highlight w:val="yellow"/>
        </w:rPr>
      </w:pPr>
    </w:p>
    <w:p w14:paraId="3F66500D" w14:textId="77777777" w:rsidR="003E55BF" w:rsidRDefault="003E55BF" w:rsidP="003E55BF">
      <w:pPr>
        <w:spacing w:line="276" w:lineRule="auto"/>
        <w:jc w:val="center"/>
        <w:rPr>
          <w:rFonts w:ascii="Arial" w:hAnsi="Arial" w:cs="Arial"/>
          <w:b/>
          <w:sz w:val="22"/>
          <w:szCs w:val="22"/>
        </w:rPr>
      </w:pPr>
    </w:p>
    <w:p w14:paraId="23182783" w14:textId="77777777" w:rsidR="003E55BF" w:rsidRDefault="003E55BF" w:rsidP="003E55BF">
      <w:pPr>
        <w:spacing w:line="276" w:lineRule="auto"/>
        <w:jc w:val="center"/>
        <w:rPr>
          <w:rFonts w:ascii="Arial" w:hAnsi="Arial" w:cs="Arial"/>
          <w:b/>
          <w:sz w:val="22"/>
          <w:szCs w:val="22"/>
        </w:rPr>
      </w:pPr>
    </w:p>
    <w:p w14:paraId="3FD46AD6" w14:textId="77777777" w:rsidR="003E55BF" w:rsidRDefault="003E55BF" w:rsidP="003E55BF">
      <w:pPr>
        <w:spacing w:line="276" w:lineRule="auto"/>
        <w:jc w:val="center"/>
        <w:rPr>
          <w:rFonts w:ascii="Arial" w:hAnsi="Arial" w:cs="Arial"/>
          <w:b/>
          <w:sz w:val="22"/>
          <w:szCs w:val="22"/>
        </w:rPr>
      </w:pPr>
    </w:p>
    <w:p w14:paraId="2C84F19C" w14:textId="77777777" w:rsidR="003E55BF" w:rsidRDefault="003E55BF" w:rsidP="003E55BF">
      <w:pPr>
        <w:spacing w:line="276" w:lineRule="auto"/>
        <w:jc w:val="center"/>
        <w:rPr>
          <w:rFonts w:ascii="Arial" w:hAnsi="Arial" w:cs="Arial"/>
          <w:b/>
          <w:sz w:val="22"/>
          <w:szCs w:val="22"/>
        </w:rPr>
      </w:pPr>
    </w:p>
    <w:p w14:paraId="13121850" w14:textId="53137539" w:rsidR="0071013F" w:rsidRPr="00482F3A" w:rsidRDefault="0071013F" w:rsidP="003E55BF">
      <w:pPr>
        <w:spacing w:line="276" w:lineRule="auto"/>
        <w:jc w:val="center"/>
        <w:rPr>
          <w:rFonts w:ascii="Arial" w:hAnsi="Arial" w:cs="Arial"/>
          <w:b/>
          <w:sz w:val="22"/>
          <w:szCs w:val="22"/>
        </w:rPr>
      </w:pPr>
      <w:r w:rsidRPr="00482F3A">
        <w:rPr>
          <w:rFonts w:ascii="Arial" w:hAnsi="Arial" w:cs="Arial"/>
          <w:b/>
          <w:sz w:val="22"/>
          <w:szCs w:val="22"/>
        </w:rPr>
        <w:t>TRANSITORIOS</w:t>
      </w:r>
    </w:p>
    <w:p w14:paraId="5163E9E4" w14:textId="77777777" w:rsidR="00F47285" w:rsidRPr="00482F3A" w:rsidRDefault="00F47285" w:rsidP="003E55BF">
      <w:pPr>
        <w:spacing w:line="276" w:lineRule="auto"/>
        <w:jc w:val="both"/>
        <w:rPr>
          <w:rFonts w:ascii="Arial" w:hAnsi="Arial" w:cs="Arial"/>
          <w:b/>
          <w:sz w:val="22"/>
          <w:szCs w:val="22"/>
        </w:rPr>
      </w:pPr>
      <w:bookmarkStart w:id="0" w:name="_Hlk155177177"/>
    </w:p>
    <w:p w14:paraId="383B74D4" w14:textId="6192A229" w:rsidR="0071013F" w:rsidRPr="00482F3A" w:rsidRDefault="0071013F" w:rsidP="003E55BF">
      <w:pPr>
        <w:spacing w:line="276" w:lineRule="auto"/>
        <w:jc w:val="both"/>
        <w:rPr>
          <w:rFonts w:ascii="Arial" w:hAnsi="Arial" w:cs="Arial"/>
          <w:sz w:val="22"/>
          <w:szCs w:val="22"/>
        </w:rPr>
      </w:pPr>
      <w:proofErr w:type="gramStart"/>
      <w:r w:rsidRPr="00482F3A">
        <w:rPr>
          <w:rFonts w:ascii="Arial" w:hAnsi="Arial" w:cs="Arial"/>
          <w:b/>
          <w:sz w:val="22"/>
          <w:szCs w:val="22"/>
        </w:rPr>
        <w:t>PRIMERO.-</w:t>
      </w:r>
      <w:proofErr w:type="gramEnd"/>
      <w:r w:rsidRPr="00482F3A">
        <w:rPr>
          <w:rFonts w:ascii="Arial" w:hAnsi="Arial" w:cs="Arial"/>
          <w:b/>
          <w:sz w:val="22"/>
          <w:szCs w:val="22"/>
        </w:rPr>
        <w:t xml:space="preserve"> </w:t>
      </w:r>
      <w:r w:rsidRPr="00482F3A">
        <w:rPr>
          <w:rFonts w:ascii="Arial" w:hAnsi="Arial" w:cs="Arial"/>
          <w:sz w:val="22"/>
          <w:szCs w:val="22"/>
        </w:rPr>
        <w:t>El presente Acuerdo entrará en vigor, a partir del día siguiente de su aprobación por este Consejo General.</w:t>
      </w:r>
    </w:p>
    <w:p w14:paraId="0F699C02" w14:textId="77777777" w:rsidR="00F47285" w:rsidRPr="00482F3A" w:rsidRDefault="00F47285" w:rsidP="003E55BF">
      <w:pPr>
        <w:spacing w:line="276" w:lineRule="auto"/>
        <w:jc w:val="both"/>
        <w:rPr>
          <w:rFonts w:ascii="Arial" w:hAnsi="Arial" w:cs="Arial"/>
          <w:b/>
          <w:sz w:val="22"/>
          <w:szCs w:val="22"/>
        </w:rPr>
      </w:pPr>
    </w:p>
    <w:p w14:paraId="5BFDB298" w14:textId="305EF613" w:rsidR="0071013F" w:rsidRPr="00482F3A" w:rsidRDefault="0071013F" w:rsidP="003E55BF">
      <w:pPr>
        <w:spacing w:line="276" w:lineRule="auto"/>
        <w:jc w:val="both"/>
        <w:rPr>
          <w:rFonts w:ascii="Arial" w:hAnsi="Arial" w:cs="Arial"/>
          <w:sz w:val="22"/>
          <w:szCs w:val="22"/>
        </w:rPr>
      </w:pPr>
      <w:proofErr w:type="gramStart"/>
      <w:r w:rsidRPr="00482F3A">
        <w:rPr>
          <w:rFonts w:ascii="Arial" w:hAnsi="Arial" w:cs="Arial"/>
          <w:b/>
          <w:sz w:val="22"/>
          <w:szCs w:val="22"/>
        </w:rPr>
        <w:t>SEGUNDO.-</w:t>
      </w:r>
      <w:proofErr w:type="gramEnd"/>
      <w:r w:rsidRPr="00482F3A">
        <w:rPr>
          <w:rFonts w:ascii="Arial" w:hAnsi="Arial" w:cs="Arial"/>
          <w:sz w:val="22"/>
          <w:szCs w:val="22"/>
        </w:rPr>
        <w:t xml:space="preserve"> Para la difusión del presente Acuerdo, se instruye a la Secretaría Ejecutiva a efecto de que lleve a cabo </w:t>
      </w:r>
      <w:r w:rsidR="00482F3A" w:rsidRPr="00482F3A">
        <w:rPr>
          <w:rFonts w:ascii="Arial" w:hAnsi="Arial" w:cs="Arial"/>
          <w:sz w:val="22"/>
          <w:szCs w:val="22"/>
        </w:rPr>
        <w:t xml:space="preserve">la publicación en el sitio oficial de internet de </w:t>
      </w:r>
      <w:r w:rsidR="003E55BF" w:rsidRPr="00482F3A">
        <w:rPr>
          <w:rFonts w:ascii="Arial" w:hAnsi="Arial" w:cs="Arial"/>
          <w:sz w:val="22"/>
          <w:szCs w:val="22"/>
        </w:rPr>
        <w:t>este</w:t>
      </w:r>
      <w:r w:rsidR="00482F3A" w:rsidRPr="00482F3A">
        <w:rPr>
          <w:rFonts w:ascii="Arial" w:hAnsi="Arial" w:cs="Arial"/>
          <w:sz w:val="22"/>
          <w:szCs w:val="22"/>
        </w:rPr>
        <w:t xml:space="preserve"> Instituto.</w:t>
      </w:r>
    </w:p>
    <w:p w14:paraId="12C1F537" w14:textId="77777777" w:rsidR="00D257F7" w:rsidRPr="00482F3A" w:rsidRDefault="00D257F7" w:rsidP="003E55BF">
      <w:pPr>
        <w:spacing w:line="276" w:lineRule="auto"/>
        <w:jc w:val="both"/>
        <w:rPr>
          <w:rFonts w:ascii="Arial" w:hAnsi="Arial" w:cs="Arial"/>
          <w:sz w:val="22"/>
          <w:szCs w:val="22"/>
        </w:rPr>
      </w:pPr>
    </w:p>
    <w:p w14:paraId="17A3778D" w14:textId="1313C259" w:rsidR="0071013F" w:rsidRPr="00482F3A" w:rsidRDefault="0071013F" w:rsidP="003E55BF">
      <w:pPr>
        <w:spacing w:line="276" w:lineRule="auto"/>
        <w:jc w:val="both"/>
        <w:rPr>
          <w:rFonts w:ascii="Arial" w:hAnsi="Arial" w:cs="Arial"/>
          <w:sz w:val="22"/>
          <w:szCs w:val="22"/>
        </w:rPr>
      </w:pPr>
      <w:r w:rsidRPr="00482F3A">
        <w:rPr>
          <w:rFonts w:ascii="Arial" w:hAnsi="Arial" w:cs="Arial"/>
          <w:sz w:val="22"/>
          <w:szCs w:val="22"/>
        </w:rPr>
        <w:t xml:space="preserve">Así lo acordó el Pleno del Instituto Chihuahuense para la Transparencia y Acceso a la Información Pública, por unanimidad de votos, en la Sesión </w:t>
      </w:r>
      <w:r w:rsidR="00482F3A" w:rsidRPr="00482F3A">
        <w:rPr>
          <w:rFonts w:ascii="Arial" w:hAnsi="Arial" w:cs="Arial"/>
          <w:sz w:val="22"/>
          <w:szCs w:val="22"/>
        </w:rPr>
        <w:t>Ordinaria</w:t>
      </w:r>
      <w:r w:rsidRPr="00482F3A">
        <w:rPr>
          <w:rFonts w:ascii="Arial" w:hAnsi="Arial" w:cs="Arial"/>
          <w:sz w:val="22"/>
          <w:szCs w:val="22"/>
        </w:rPr>
        <w:t xml:space="preserve"> celebrada el día </w:t>
      </w:r>
      <w:r w:rsidR="00482F3A" w:rsidRPr="00482F3A">
        <w:rPr>
          <w:rFonts w:ascii="Arial" w:hAnsi="Arial" w:cs="Arial"/>
          <w:sz w:val="22"/>
          <w:szCs w:val="22"/>
        </w:rPr>
        <w:t xml:space="preserve">veintiséis de marzo </w:t>
      </w:r>
      <w:r w:rsidRPr="00482F3A">
        <w:rPr>
          <w:rFonts w:ascii="Arial" w:hAnsi="Arial" w:cs="Arial"/>
          <w:sz w:val="22"/>
          <w:szCs w:val="22"/>
        </w:rPr>
        <w:t xml:space="preserve">del año dos mil veinticinco, </w:t>
      </w:r>
      <w:r w:rsidRPr="00482F3A">
        <w:rPr>
          <w:rFonts w:ascii="Arial" w:hAnsi="Arial" w:cs="Arial"/>
          <w:sz w:val="22"/>
          <w:szCs w:val="22"/>
          <w:lang w:val="es-ES"/>
        </w:rPr>
        <w:t xml:space="preserve">ante la fe de la Secretaria Ejecutiva </w:t>
      </w:r>
      <w:r w:rsidR="00A17938" w:rsidRPr="00482F3A">
        <w:rPr>
          <w:rFonts w:ascii="Arial" w:hAnsi="Arial" w:cs="Arial"/>
          <w:sz w:val="22"/>
          <w:szCs w:val="22"/>
          <w:lang w:val="es-ES"/>
        </w:rPr>
        <w:t>la Mtra. Blanca Gabriela González Chávez</w:t>
      </w:r>
      <w:r w:rsidRPr="00482F3A">
        <w:rPr>
          <w:rFonts w:ascii="Arial" w:hAnsi="Arial" w:cs="Arial"/>
          <w:sz w:val="22"/>
          <w:szCs w:val="22"/>
          <w:lang w:val="es-ES"/>
        </w:rPr>
        <w:t xml:space="preserve">, con fundamento en el artículo 13 fracción XIV del Reglamento Interior de </w:t>
      </w:r>
      <w:r w:rsidR="00A0505A" w:rsidRPr="00482F3A">
        <w:rPr>
          <w:rFonts w:ascii="Arial" w:hAnsi="Arial" w:cs="Arial"/>
          <w:sz w:val="22"/>
          <w:szCs w:val="22"/>
          <w:lang w:val="es-ES"/>
        </w:rPr>
        <w:t>este</w:t>
      </w:r>
      <w:r w:rsidRPr="00482F3A">
        <w:rPr>
          <w:rFonts w:ascii="Arial" w:hAnsi="Arial" w:cs="Arial"/>
          <w:sz w:val="22"/>
          <w:szCs w:val="22"/>
          <w:lang w:val="es-ES"/>
        </w:rPr>
        <w:t xml:space="preserve"> Instituto</w:t>
      </w:r>
      <w:r w:rsidRPr="00482F3A">
        <w:rPr>
          <w:rFonts w:ascii="Arial" w:hAnsi="Arial" w:cs="Arial"/>
          <w:sz w:val="22"/>
          <w:szCs w:val="22"/>
        </w:rPr>
        <w:t>.</w:t>
      </w:r>
    </w:p>
    <w:bookmarkEnd w:id="0"/>
    <w:p w14:paraId="752E25E0"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p>
    <w:p w14:paraId="066FF16C"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p>
    <w:p w14:paraId="40EF5BEC" w14:textId="77777777" w:rsidR="00C612F8" w:rsidRPr="00482F3A" w:rsidRDefault="00C612F8" w:rsidP="003E55BF">
      <w:pPr>
        <w:widowControl w:val="0"/>
        <w:autoSpaceDE w:val="0"/>
        <w:autoSpaceDN w:val="0"/>
        <w:adjustRightInd w:val="0"/>
        <w:spacing w:line="276" w:lineRule="auto"/>
        <w:jc w:val="center"/>
        <w:rPr>
          <w:rFonts w:ascii="Arial" w:hAnsi="Arial" w:cs="Arial"/>
          <w:b/>
          <w:sz w:val="22"/>
          <w:szCs w:val="22"/>
        </w:rPr>
      </w:pPr>
    </w:p>
    <w:p w14:paraId="4122DDDB"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p>
    <w:p w14:paraId="479B624B" w14:textId="77777777" w:rsidR="00D257F7" w:rsidRPr="00482F3A" w:rsidRDefault="00D257F7" w:rsidP="003E55BF">
      <w:pPr>
        <w:widowControl w:val="0"/>
        <w:autoSpaceDE w:val="0"/>
        <w:autoSpaceDN w:val="0"/>
        <w:adjustRightInd w:val="0"/>
        <w:spacing w:line="276" w:lineRule="auto"/>
        <w:jc w:val="center"/>
        <w:rPr>
          <w:rFonts w:ascii="Arial" w:hAnsi="Arial" w:cs="Arial"/>
          <w:b/>
          <w:sz w:val="22"/>
          <w:szCs w:val="22"/>
        </w:rPr>
      </w:pPr>
    </w:p>
    <w:p w14:paraId="13AE7503" w14:textId="77777777" w:rsidR="00D257F7" w:rsidRDefault="00D257F7" w:rsidP="003E55BF">
      <w:pPr>
        <w:widowControl w:val="0"/>
        <w:autoSpaceDE w:val="0"/>
        <w:autoSpaceDN w:val="0"/>
        <w:adjustRightInd w:val="0"/>
        <w:spacing w:line="276" w:lineRule="auto"/>
        <w:jc w:val="center"/>
        <w:rPr>
          <w:rFonts w:ascii="Arial" w:hAnsi="Arial" w:cs="Arial"/>
          <w:b/>
          <w:sz w:val="22"/>
          <w:szCs w:val="22"/>
        </w:rPr>
      </w:pPr>
    </w:p>
    <w:p w14:paraId="3B3CB750" w14:textId="77777777" w:rsidR="00F76BF1" w:rsidRPr="00482F3A" w:rsidRDefault="00F76BF1" w:rsidP="003E55BF">
      <w:pPr>
        <w:widowControl w:val="0"/>
        <w:autoSpaceDE w:val="0"/>
        <w:autoSpaceDN w:val="0"/>
        <w:adjustRightInd w:val="0"/>
        <w:spacing w:line="276" w:lineRule="auto"/>
        <w:jc w:val="center"/>
        <w:rPr>
          <w:rFonts w:ascii="Arial" w:hAnsi="Arial" w:cs="Arial"/>
          <w:b/>
          <w:sz w:val="22"/>
          <w:szCs w:val="22"/>
        </w:rPr>
      </w:pPr>
    </w:p>
    <w:p w14:paraId="41D2DE67" w14:textId="77777777" w:rsidR="00D257F7" w:rsidRPr="00482F3A" w:rsidRDefault="00D257F7" w:rsidP="003E55BF">
      <w:pPr>
        <w:widowControl w:val="0"/>
        <w:autoSpaceDE w:val="0"/>
        <w:autoSpaceDN w:val="0"/>
        <w:adjustRightInd w:val="0"/>
        <w:spacing w:line="276" w:lineRule="auto"/>
        <w:jc w:val="center"/>
        <w:rPr>
          <w:rFonts w:ascii="Arial" w:hAnsi="Arial" w:cs="Arial"/>
          <w:b/>
          <w:sz w:val="22"/>
          <w:szCs w:val="22"/>
        </w:rPr>
      </w:pPr>
    </w:p>
    <w:p w14:paraId="2647A18A" w14:textId="77777777" w:rsidR="00D257F7" w:rsidRPr="00482F3A" w:rsidRDefault="00D257F7" w:rsidP="003E55BF">
      <w:pPr>
        <w:widowControl w:val="0"/>
        <w:autoSpaceDE w:val="0"/>
        <w:autoSpaceDN w:val="0"/>
        <w:adjustRightInd w:val="0"/>
        <w:spacing w:line="276" w:lineRule="auto"/>
        <w:jc w:val="center"/>
        <w:rPr>
          <w:rFonts w:ascii="Arial" w:hAnsi="Arial" w:cs="Arial"/>
          <w:b/>
          <w:sz w:val="22"/>
          <w:szCs w:val="22"/>
        </w:rPr>
      </w:pPr>
    </w:p>
    <w:p w14:paraId="71A5FDD6"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r w:rsidRPr="00482F3A">
        <w:rPr>
          <w:rFonts w:ascii="Arial" w:hAnsi="Arial" w:cs="Arial"/>
          <w:b/>
          <w:sz w:val="22"/>
          <w:szCs w:val="22"/>
        </w:rPr>
        <w:t>DR. SERGIO RAFAEL FACIO GUZMÁN</w:t>
      </w:r>
    </w:p>
    <w:p w14:paraId="0807EE6F"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r w:rsidRPr="00482F3A">
        <w:rPr>
          <w:rFonts w:ascii="Arial" w:hAnsi="Arial" w:cs="Arial"/>
          <w:b/>
          <w:sz w:val="22"/>
          <w:szCs w:val="22"/>
        </w:rPr>
        <w:t>COMISIONADO PRESIDENTE</w:t>
      </w:r>
    </w:p>
    <w:p w14:paraId="3352DD2F"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p>
    <w:p w14:paraId="410FE077"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p>
    <w:p w14:paraId="70CF59AA" w14:textId="77777777" w:rsidR="0071013F" w:rsidRPr="00482F3A" w:rsidRDefault="0071013F" w:rsidP="003E55BF">
      <w:pPr>
        <w:widowControl w:val="0"/>
        <w:autoSpaceDE w:val="0"/>
        <w:autoSpaceDN w:val="0"/>
        <w:adjustRightInd w:val="0"/>
        <w:spacing w:line="276" w:lineRule="auto"/>
        <w:jc w:val="center"/>
        <w:rPr>
          <w:rFonts w:ascii="Arial" w:hAnsi="Arial" w:cs="Arial"/>
          <w:b/>
          <w:sz w:val="22"/>
          <w:szCs w:val="22"/>
        </w:rPr>
      </w:pPr>
    </w:p>
    <w:p w14:paraId="7A3AB30A" w14:textId="77777777" w:rsidR="00D257F7" w:rsidRDefault="00D257F7" w:rsidP="003E55BF">
      <w:pPr>
        <w:widowControl w:val="0"/>
        <w:autoSpaceDE w:val="0"/>
        <w:autoSpaceDN w:val="0"/>
        <w:adjustRightInd w:val="0"/>
        <w:spacing w:line="276" w:lineRule="auto"/>
        <w:jc w:val="center"/>
        <w:rPr>
          <w:rFonts w:ascii="Arial" w:hAnsi="Arial" w:cs="Arial"/>
          <w:b/>
          <w:sz w:val="22"/>
          <w:szCs w:val="22"/>
        </w:rPr>
      </w:pPr>
    </w:p>
    <w:p w14:paraId="00194F9B" w14:textId="77777777" w:rsidR="00F76BF1" w:rsidRPr="00482F3A" w:rsidRDefault="00F76BF1" w:rsidP="003E55BF">
      <w:pPr>
        <w:widowControl w:val="0"/>
        <w:autoSpaceDE w:val="0"/>
        <w:autoSpaceDN w:val="0"/>
        <w:adjustRightInd w:val="0"/>
        <w:spacing w:line="276" w:lineRule="auto"/>
        <w:jc w:val="center"/>
        <w:rPr>
          <w:rFonts w:ascii="Arial" w:hAnsi="Arial" w:cs="Arial"/>
          <w:b/>
          <w:sz w:val="22"/>
          <w:szCs w:val="22"/>
        </w:rPr>
      </w:pPr>
    </w:p>
    <w:p w14:paraId="1601C8B9" w14:textId="77777777" w:rsidR="00D257F7" w:rsidRPr="00482F3A" w:rsidRDefault="00D257F7" w:rsidP="003E55BF">
      <w:pPr>
        <w:widowControl w:val="0"/>
        <w:autoSpaceDE w:val="0"/>
        <w:autoSpaceDN w:val="0"/>
        <w:adjustRightInd w:val="0"/>
        <w:spacing w:line="276" w:lineRule="auto"/>
        <w:jc w:val="center"/>
        <w:rPr>
          <w:rFonts w:ascii="Arial" w:hAnsi="Arial" w:cs="Arial"/>
          <w:b/>
          <w:sz w:val="22"/>
          <w:szCs w:val="22"/>
        </w:rPr>
      </w:pPr>
    </w:p>
    <w:p w14:paraId="4976490A" w14:textId="77777777" w:rsidR="00D257F7" w:rsidRPr="00482F3A" w:rsidRDefault="00D257F7" w:rsidP="003E55BF">
      <w:pPr>
        <w:widowControl w:val="0"/>
        <w:autoSpaceDE w:val="0"/>
        <w:autoSpaceDN w:val="0"/>
        <w:adjustRightInd w:val="0"/>
        <w:spacing w:line="276" w:lineRule="auto"/>
        <w:jc w:val="center"/>
        <w:rPr>
          <w:rFonts w:ascii="Arial" w:hAnsi="Arial" w:cs="Arial"/>
          <w:b/>
          <w:sz w:val="22"/>
          <w:szCs w:val="22"/>
        </w:rPr>
      </w:pPr>
    </w:p>
    <w:p w14:paraId="085864C1" w14:textId="77777777" w:rsidR="00D257F7" w:rsidRPr="00482F3A" w:rsidRDefault="00D257F7" w:rsidP="003E55BF">
      <w:pPr>
        <w:widowControl w:val="0"/>
        <w:autoSpaceDE w:val="0"/>
        <w:autoSpaceDN w:val="0"/>
        <w:adjustRightInd w:val="0"/>
        <w:spacing w:line="276" w:lineRule="auto"/>
        <w:jc w:val="center"/>
        <w:rPr>
          <w:rFonts w:ascii="Arial" w:hAnsi="Arial" w:cs="Arial"/>
          <w:b/>
          <w:sz w:val="22"/>
          <w:szCs w:val="22"/>
        </w:rPr>
      </w:pPr>
    </w:p>
    <w:p w14:paraId="13642A87" w14:textId="77777777" w:rsidR="00D257F7" w:rsidRPr="00482F3A" w:rsidRDefault="00D257F7" w:rsidP="003E55BF">
      <w:pPr>
        <w:widowControl w:val="0"/>
        <w:autoSpaceDE w:val="0"/>
        <w:autoSpaceDN w:val="0"/>
        <w:adjustRightInd w:val="0"/>
        <w:spacing w:line="276" w:lineRule="auto"/>
        <w:jc w:val="center"/>
        <w:rPr>
          <w:rFonts w:ascii="Arial" w:hAnsi="Arial" w:cs="Arial"/>
          <w:b/>
          <w:sz w:val="22"/>
          <w:szCs w:val="22"/>
        </w:rPr>
      </w:pPr>
    </w:p>
    <w:p w14:paraId="5DAFD015" w14:textId="6C28E146" w:rsidR="0071013F" w:rsidRPr="00482F3A" w:rsidRDefault="00F47285" w:rsidP="003E55BF">
      <w:pPr>
        <w:widowControl w:val="0"/>
        <w:autoSpaceDE w:val="0"/>
        <w:autoSpaceDN w:val="0"/>
        <w:adjustRightInd w:val="0"/>
        <w:spacing w:line="276" w:lineRule="auto"/>
        <w:jc w:val="center"/>
        <w:rPr>
          <w:rFonts w:ascii="Arial" w:hAnsi="Arial" w:cs="Arial"/>
          <w:b/>
          <w:sz w:val="22"/>
          <w:szCs w:val="22"/>
        </w:rPr>
      </w:pPr>
      <w:r w:rsidRPr="00482F3A">
        <w:rPr>
          <w:rFonts w:ascii="Arial" w:hAnsi="Arial" w:cs="Arial"/>
          <w:b/>
          <w:sz w:val="22"/>
          <w:szCs w:val="22"/>
        </w:rPr>
        <w:t>MTRA. BLANCA GABRIELA GONZÁLEZ CHÁVEZ</w:t>
      </w:r>
    </w:p>
    <w:p w14:paraId="307DAF0E" w14:textId="6117A766" w:rsidR="0010251F" w:rsidRPr="00482F3A" w:rsidRDefault="0071013F" w:rsidP="003E55BF">
      <w:pPr>
        <w:autoSpaceDE w:val="0"/>
        <w:autoSpaceDN w:val="0"/>
        <w:adjustRightInd w:val="0"/>
        <w:spacing w:line="276" w:lineRule="auto"/>
        <w:ind w:right="-36"/>
        <w:jc w:val="center"/>
        <w:rPr>
          <w:rFonts w:ascii="Arial" w:hAnsi="Arial" w:cs="Arial"/>
          <w:sz w:val="22"/>
          <w:szCs w:val="22"/>
        </w:rPr>
      </w:pPr>
      <w:r w:rsidRPr="00482F3A">
        <w:rPr>
          <w:rFonts w:ascii="Arial" w:hAnsi="Arial" w:cs="Arial"/>
          <w:b/>
          <w:sz w:val="22"/>
          <w:szCs w:val="22"/>
        </w:rPr>
        <w:t>SECRETARI</w:t>
      </w:r>
      <w:r w:rsidR="00F47285" w:rsidRPr="00482F3A">
        <w:rPr>
          <w:rFonts w:ascii="Arial" w:hAnsi="Arial" w:cs="Arial"/>
          <w:b/>
          <w:sz w:val="22"/>
          <w:szCs w:val="22"/>
        </w:rPr>
        <w:t>A</w:t>
      </w:r>
      <w:r w:rsidRPr="00482F3A">
        <w:rPr>
          <w:rFonts w:ascii="Arial" w:hAnsi="Arial" w:cs="Arial"/>
          <w:b/>
          <w:sz w:val="22"/>
          <w:szCs w:val="22"/>
        </w:rPr>
        <w:t xml:space="preserve"> EJECUTIV</w:t>
      </w:r>
      <w:r w:rsidR="00F47285" w:rsidRPr="00482F3A">
        <w:rPr>
          <w:rFonts w:ascii="Arial" w:hAnsi="Arial" w:cs="Arial"/>
          <w:b/>
          <w:sz w:val="22"/>
          <w:szCs w:val="22"/>
        </w:rPr>
        <w:t>A</w:t>
      </w:r>
    </w:p>
    <w:sectPr w:rsidR="0010251F" w:rsidRPr="00482F3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0CD66" w14:textId="77777777" w:rsidR="003C2520" w:rsidRDefault="003C2520" w:rsidP="00A929C5">
      <w:r>
        <w:separator/>
      </w:r>
    </w:p>
  </w:endnote>
  <w:endnote w:type="continuationSeparator" w:id="0">
    <w:p w14:paraId="375BB01C" w14:textId="77777777" w:rsidR="003C2520" w:rsidRDefault="003C2520" w:rsidP="00A9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6864" w14:textId="77777777" w:rsidR="00F76BF1" w:rsidRPr="00AC61EB" w:rsidRDefault="00F76BF1" w:rsidP="00F76BF1">
    <w:pPr>
      <w:rPr>
        <w:sz w:val="10"/>
        <w:szCs w:val="10"/>
      </w:rPr>
    </w:pPr>
    <w:r>
      <w:rPr>
        <w:noProof/>
      </w:rPr>
      <mc:AlternateContent>
        <mc:Choice Requires="wps">
          <w:drawing>
            <wp:anchor distT="4294967295" distB="4294967295" distL="114300" distR="114300" simplePos="0" relativeHeight="251663360" behindDoc="0" locked="0" layoutInCell="1" allowOverlap="1" wp14:anchorId="5B339063" wp14:editId="6436FE87">
              <wp:simplePos x="0" y="0"/>
              <wp:positionH relativeFrom="margin">
                <wp:posOffset>0</wp:posOffset>
              </wp:positionH>
              <wp:positionV relativeFrom="paragraph">
                <wp:posOffset>19050</wp:posOffset>
              </wp:positionV>
              <wp:extent cx="5943600" cy="26035"/>
              <wp:effectExtent l="0" t="19050" r="38100" b="50165"/>
              <wp:wrapNone/>
              <wp:docPr id="39355622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26035"/>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22CCCD69" id="Conector recto 1"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1.5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" strokecolor="#099" strokeweight="4.5pt">
              <v:stroke linestyle="thinThick"/>
              <w10:wrap anchorx="margin"/>
            </v:line>
          </w:pict>
        </mc:Fallback>
      </mc:AlternateContent>
    </w:r>
  </w:p>
  <w:p w14:paraId="4014C02F" w14:textId="77777777" w:rsidR="00F76BF1" w:rsidRDefault="00F76BF1" w:rsidP="00F76BF1">
    <w:pPr>
      <w:jc w:val="center"/>
      <w:rPr>
        <w:rFonts w:ascii="Arial" w:hAnsi="Arial" w:cs="Arial"/>
        <w:b/>
        <w:sz w:val="16"/>
        <w:szCs w:val="16"/>
      </w:rPr>
    </w:pPr>
    <w:r w:rsidRPr="008C0634">
      <w:rPr>
        <w:rFonts w:ascii="Lucida Sans" w:hAnsi="Lucida Sans" w:cs="Aptos"/>
        <w:b/>
        <w:sz w:val="18"/>
        <w:szCs w:val="18"/>
      </w:rPr>
      <w:t>“</w:t>
    </w:r>
    <w:r>
      <w:rPr>
        <w:rFonts w:ascii="Arial" w:hAnsi="Arial" w:cs="Arial"/>
        <w:b/>
        <w:color w:val="333333"/>
        <w:sz w:val="17"/>
        <w:szCs w:val="17"/>
        <w:shd w:val="clear" w:color="auto" w:fill="FFFFFF"/>
      </w:rPr>
      <w:t>2025, Año del Bicentenario de la Primera Constitución del Estado de Chihuahua</w:t>
    </w:r>
    <w:r w:rsidRPr="008C0634">
      <w:rPr>
        <w:rFonts w:ascii="Lucida Sans" w:hAnsi="Lucida Sans" w:cs="Aptos"/>
        <w:b/>
        <w:sz w:val="18"/>
        <w:szCs w:val="18"/>
      </w:rPr>
      <w:t>”</w:t>
    </w:r>
  </w:p>
  <w:p w14:paraId="771DAEA7" w14:textId="77777777" w:rsidR="00F76BF1" w:rsidRDefault="00F76BF1" w:rsidP="00F76BF1">
    <w:pPr>
      <w:contextualSpacing/>
      <w:jc w:val="center"/>
      <w:rPr>
        <w:rFonts w:ascii="Arial" w:hAnsi="Arial" w:cs="Arial"/>
        <w:sz w:val="16"/>
        <w:szCs w:val="16"/>
      </w:rPr>
    </w:pPr>
    <w:r>
      <w:rPr>
        <w:rFonts w:ascii="Lucida Sans" w:hAnsi="Lucida Sans"/>
        <w:sz w:val="16"/>
        <w:szCs w:val="16"/>
      </w:rPr>
      <w:t>Av. Teófilo Borunda</w:t>
    </w:r>
    <w:r w:rsidRPr="00155677">
      <w:rPr>
        <w:rFonts w:ascii="Lucida Sans" w:hAnsi="Lucida Sans"/>
        <w:sz w:val="16"/>
        <w:szCs w:val="16"/>
      </w:rPr>
      <w:t xml:space="preserve"> No. 2009</w:t>
    </w:r>
    <w:r>
      <w:rPr>
        <w:rFonts w:ascii="Lucida Sans" w:hAnsi="Lucida Sans"/>
        <w:sz w:val="16"/>
        <w:szCs w:val="16"/>
      </w:rPr>
      <w:t xml:space="preserve"> </w:t>
    </w:r>
    <w:r w:rsidRPr="00155677">
      <w:rPr>
        <w:rFonts w:ascii="Arial" w:hAnsi="Arial" w:cs="Arial"/>
        <w:sz w:val="16"/>
        <w:szCs w:val="16"/>
      </w:rPr>
      <w:t xml:space="preserve">Col. Arquitos, </w:t>
    </w:r>
    <w:r w:rsidRPr="00F834E6">
      <w:rPr>
        <w:rFonts w:ascii="Arial" w:hAnsi="Arial" w:cs="Arial"/>
        <w:sz w:val="16"/>
        <w:szCs w:val="16"/>
      </w:rPr>
      <w:t>Chihuahua, Chih., México</w:t>
    </w:r>
    <w:r>
      <w:rPr>
        <w:rFonts w:ascii="Arial" w:hAnsi="Arial" w:cs="Arial"/>
        <w:sz w:val="16"/>
        <w:szCs w:val="16"/>
      </w:rPr>
      <w:t>,</w:t>
    </w:r>
    <w:r w:rsidRPr="00155677">
      <w:rPr>
        <w:rFonts w:ascii="Arial" w:hAnsi="Arial" w:cs="Arial"/>
        <w:sz w:val="16"/>
        <w:szCs w:val="16"/>
      </w:rPr>
      <w:t xml:space="preserve"> C.P. 31205</w:t>
    </w:r>
  </w:p>
  <w:p w14:paraId="48C225DE" w14:textId="77777777" w:rsidR="00F76BF1" w:rsidRPr="00EF2CB5" w:rsidRDefault="00F76BF1" w:rsidP="00F76BF1">
    <w:pPr>
      <w:contextualSpacing/>
      <w:jc w:val="center"/>
      <w:rPr>
        <w:rFonts w:ascii="Arial" w:hAnsi="Arial" w:cs="Arial"/>
        <w:color w:val="009999"/>
        <w:sz w:val="16"/>
        <w:szCs w:val="16"/>
      </w:rPr>
    </w:pPr>
    <w:r w:rsidRPr="00F834E6">
      <w:rPr>
        <w:rFonts w:ascii="Arial" w:hAnsi="Arial" w:cs="Arial"/>
        <w:sz w:val="16"/>
        <w:szCs w:val="16"/>
      </w:rPr>
      <w:t>Conmutador: (614) 201 3300</w:t>
    </w:r>
    <w:r>
      <w:rPr>
        <w:rFonts w:ascii="Arial" w:hAnsi="Arial" w:cs="Arial"/>
        <w:sz w:val="16"/>
        <w:szCs w:val="16"/>
      </w:rPr>
      <w:t xml:space="preserve"> </w:t>
    </w:r>
    <w:hyperlink r:id="rId1" w:history="1">
      <w:r w:rsidRPr="00EF2CB5">
        <w:rPr>
          <w:rStyle w:val="Hipervnculo"/>
          <w:rFonts w:ascii="Arial" w:hAnsi="Arial" w:cs="Arial"/>
          <w:color w:val="009999"/>
          <w:sz w:val="16"/>
          <w:szCs w:val="16"/>
        </w:rPr>
        <w:t>www.ichitaip.org.mx</w:t>
      </w:r>
    </w:hyperlink>
  </w:p>
  <w:p w14:paraId="61A7AA28" w14:textId="164362D1" w:rsidR="00A929C5" w:rsidRDefault="00A929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5C6FC" w14:textId="77777777" w:rsidR="003C2520" w:rsidRDefault="003C2520" w:rsidP="00A929C5">
      <w:r>
        <w:separator/>
      </w:r>
    </w:p>
  </w:footnote>
  <w:footnote w:type="continuationSeparator" w:id="0">
    <w:p w14:paraId="1BC7E779" w14:textId="77777777" w:rsidR="003C2520" w:rsidRDefault="003C2520" w:rsidP="00A9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382"/>
    </w:tblGrid>
    <w:tr w:rsidR="00D257F7" w14:paraId="27ADEF7E" w14:textId="77777777" w:rsidTr="00FB7DDE">
      <w:tc>
        <w:tcPr>
          <w:tcW w:w="3456" w:type="dxa"/>
        </w:tcPr>
        <w:p w14:paraId="400A8B26" w14:textId="77777777" w:rsidR="00D257F7" w:rsidRDefault="00D257F7" w:rsidP="00D257F7">
          <w:pPr>
            <w:pStyle w:val="Encabezado"/>
          </w:pPr>
          <w:bookmarkStart w:id="1" w:name="_Hlk174718535"/>
          <w:bookmarkStart w:id="2" w:name="_Hlk174718536"/>
          <w:r w:rsidRPr="0079294D">
            <w:rPr>
              <w:rFonts w:ascii="Tahoma" w:hAnsi="Tahoma" w:cs="Tahoma"/>
              <w:noProof/>
              <w:sz w:val="18"/>
              <w:szCs w:val="18"/>
            </w:rPr>
            <w:drawing>
              <wp:inline distT="0" distB="0" distL="0" distR="0" wp14:anchorId="08E4C316" wp14:editId="4B1CE96D">
                <wp:extent cx="2057400" cy="876300"/>
                <wp:effectExtent l="0" t="0" r="0" b="0"/>
                <wp:docPr id="730290644" name="Imagen 7302906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20199" name="Imagen 58392019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76300"/>
                        </a:xfrm>
                        <a:prstGeom prst="rect">
                          <a:avLst/>
                        </a:prstGeom>
                        <a:noFill/>
                        <a:ln>
                          <a:noFill/>
                        </a:ln>
                      </pic:spPr>
                    </pic:pic>
                  </a:graphicData>
                </a:graphic>
              </wp:inline>
            </w:drawing>
          </w:r>
        </w:p>
      </w:tc>
      <w:tc>
        <w:tcPr>
          <w:tcW w:w="5898" w:type="dxa"/>
        </w:tcPr>
        <w:p w14:paraId="6F891881" w14:textId="77777777" w:rsidR="00D257F7" w:rsidRDefault="00D257F7" w:rsidP="00D257F7">
          <w:pPr>
            <w:pStyle w:val="Encabezado"/>
          </w:pPr>
        </w:p>
        <w:p w14:paraId="797DF5AF" w14:textId="77777777" w:rsidR="00D257F7" w:rsidRDefault="00D257F7" w:rsidP="00D257F7">
          <w:pPr>
            <w:pStyle w:val="Encabezado"/>
          </w:pPr>
        </w:p>
        <w:p w14:paraId="70473F45" w14:textId="77777777" w:rsidR="00D257F7" w:rsidRDefault="00D257F7" w:rsidP="00D257F7">
          <w:pPr>
            <w:pStyle w:val="Encabezado"/>
          </w:pPr>
        </w:p>
        <w:p w14:paraId="78532E47" w14:textId="7E859088" w:rsidR="00D257F7" w:rsidRPr="00D257F7" w:rsidRDefault="00D257F7" w:rsidP="00D257F7">
          <w:pPr>
            <w:pStyle w:val="Encabezado"/>
            <w:jc w:val="right"/>
            <w:rPr>
              <w:rFonts w:ascii="Arial" w:hAnsi="Arial" w:cs="Arial"/>
              <w:b/>
              <w:sz w:val="28"/>
              <w:szCs w:val="28"/>
            </w:rPr>
          </w:pPr>
          <w:r w:rsidRPr="00D257F7">
            <w:rPr>
              <w:rFonts w:ascii="Arial" w:hAnsi="Arial" w:cs="Arial"/>
              <w:b/>
              <w:sz w:val="28"/>
              <w:szCs w:val="28"/>
            </w:rPr>
            <w:t>ACUERDO ICHITAIP/PLENO-</w:t>
          </w:r>
          <w:r>
            <w:rPr>
              <w:rFonts w:ascii="Arial" w:hAnsi="Arial" w:cs="Arial"/>
              <w:b/>
              <w:sz w:val="28"/>
              <w:szCs w:val="28"/>
            </w:rPr>
            <w:t>0</w:t>
          </w:r>
          <w:r w:rsidR="00F76BF1">
            <w:rPr>
              <w:rFonts w:ascii="Arial" w:hAnsi="Arial" w:cs="Arial"/>
              <w:b/>
              <w:sz w:val="28"/>
              <w:szCs w:val="28"/>
            </w:rPr>
            <w:t>7</w:t>
          </w:r>
          <w:r w:rsidRPr="00D257F7">
            <w:rPr>
              <w:rFonts w:ascii="Arial" w:hAnsi="Arial" w:cs="Arial"/>
              <w:b/>
              <w:sz w:val="28"/>
              <w:szCs w:val="28"/>
            </w:rPr>
            <w:t>/202</w:t>
          </w:r>
          <w:r>
            <w:rPr>
              <w:rFonts w:ascii="Arial" w:hAnsi="Arial" w:cs="Arial"/>
              <w:b/>
              <w:sz w:val="28"/>
              <w:szCs w:val="28"/>
            </w:rPr>
            <w:t>5</w:t>
          </w:r>
        </w:p>
        <w:p w14:paraId="2A234F82" w14:textId="6A4896DE" w:rsidR="00D257F7" w:rsidRPr="00E4244D" w:rsidRDefault="00D257F7" w:rsidP="00D257F7">
          <w:pPr>
            <w:pStyle w:val="Encabezado"/>
            <w:jc w:val="right"/>
            <w:rPr>
              <w:sz w:val="28"/>
              <w:szCs w:val="28"/>
            </w:rPr>
          </w:pPr>
          <w:r w:rsidRPr="00D257F7">
            <w:rPr>
              <w:rFonts w:ascii="Arial" w:hAnsi="Arial" w:cs="Arial"/>
              <w:b/>
              <w:iCs/>
              <w:sz w:val="18"/>
              <w:szCs w:val="18"/>
            </w:rPr>
            <w:t xml:space="preserve">APROBADO EN SESION </w:t>
          </w:r>
          <w:r w:rsidR="003E55BF">
            <w:rPr>
              <w:rFonts w:ascii="Arial" w:hAnsi="Arial" w:cs="Arial"/>
              <w:b/>
              <w:iCs/>
              <w:sz w:val="18"/>
              <w:szCs w:val="18"/>
            </w:rPr>
            <w:t>O</w:t>
          </w:r>
          <w:r w:rsidRPr="00D257F7">
            <w:rPr>
              <w:rFonts w:ascii="Arial" w:hAnsi="Arial" w:cs="Arial"/>
              <w:b/>
              <w:iCs/>
              <w:sz w:val="18"/>
              <w:szCs w:val="18"/>
            </w:rPr>
            <w:t xml:space="preserve">RDINARIA DEL </w:t>
          </w:r>
          <w:r w:rsidR="00F76BF1">
            <w:rPr>
              <w:rFonts w:ascii="Arial" w:hAnsi="Arial" w:cs="Arial"/>
              <w:b/>
              <w:iCs/>
              <w:sz w:val="18"/>
              <w:szCs w:val="18"/>
            </w:rPr>
            <w:t>26</w:t>
          </w:r>
          <w:r w:rsidRPr="00D257F7">
            <w:rPr>
              <w:rFonts w:ascii="Arial" w:hAnsi="Arial" w:cs="Arial"/>
              <w:b/>
              <w:iCs/>
              <w:sz w:val="18"/>
              <w:szCs w:val="18"/>
            </w:rPr>
            <w:t>-0</w:t>
          </w:r>
          <w:r w:rsidR="00F76BF1">
            <w:rPr>
              <w:rFonts w:ascii="Arial" w:hAnsi="Arial" w:cs="Arial"/>
              <w:b/>
              <w:iCs/>
              <w:sz w:val="18"/>
              <w:szCs w:val="18"/>
            </w:rPr>
            <w:t>3</w:t>
          </w:r>
          <w:r w:rsidRPr="00D257F7">
            <w:rPr>
              <w:rFonts w:ascii="Arial" w:hAnsi="Arial" w:cs="Arial"/>
              <w:b/>
              <w:iCs/>
              <w:sz w:val="18"/>
              <w:szCs w:val="18"/>
            </w:rPr>
            <w:t>-</w:t>
          </w:r>
          <w:r w:rsidR="00762FE3">
            <w:rPr>
              <w:rFonts w:ascii="Arial" w:hAnsi="Arial" w:cs="Arial"/>
              <w:b/>
              <w:iCs/>
              <w:sz w:val="18"/>
              <w:szCs w:val="18"/>
            </w:rPr>
            <w:t>2025</w:t>
          </w:r>
        </w:p>
      </w:tc>
    </w:tr>
  </w:tbl>
  <w:p w14:paraId="56C97044" w14:textId="77777777" w:rsidR="00D257F7" w:rsidRPr="00AC7870" w:rsidRDefault="00D257F7" w:rsidP="00D257F7">
    <w:pPr>
      <w:pStyle w:val="Encabezado"/>
    </w:pPr>
    <w:r w:rsidRPr="00BA642E">
      <w:rPr>
        <w:noProof/>
        <w:color w:val="009999"/>
      </w:rPr>
      <mc:AlternateContent>
        <mc:Choice Requires="wps">
          <w:drawing>
            <wp:anchor distT="4294967295" distB="4294967295" distL="114300" distR="114300" simplePos="0" relativeHeight="251661312" behindDoc="0" locked="0" layoutInCell="1" allowOverlap="1" wp14:anchorId="2F33CA8C" wp14:editId="70EE2F6D">
              <wp:simplePos x="0" y="0"/>
              <wp:positionH relativeFrom="margin">
                <wp:posOffset>-30562</wp:posOffset>
              </wp:positionH>
              <wp:positionV relativeFrom="paragraph">
                <wp:posOffset>41082</wp:posOffset>
              </wp:positionV>
              <wp:extent cx="5653378" cy="0"/>
              <wp:effectExtent l="0" t="19050" r="43180" b="38100"/>
              <wp:wrapNone/>
              <wp:docPr id="1574065852"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3378" cy="0"/>
                      </a:xfrm>
                      <a:prstGeom prst="line">
                        <a:avLst/>
                      </a:prstGeom>
                      <a:noFill/>
                      <a:ln w="57150" cmpd="thinThick">
                        <a:solidFill>
                          <a:srgbClr val="009999"/>
                        </a:solidFill>
                        <a:round/>
                        <a:headEnd/>
                        <a:tailEnd/>
                      </a:ln>
                      <a:effectLst>
                        <a:innerShdw blurRad="63500" dist="50800" dir="5400000">
                          <a:prstClr val="black">
                            <a:alpha val="50000"/>
                          </a:prstClr>
                        </a:innerShdw>
                      </a:effectLst>
                    </wps:spPr>
                    <wps:bodyPr/>
                  </wps:wsp>
                </a:graphicData>
              </a:graphic>
              <wp14:sizeRelH relativeFrom="page">
                <wp14:pctWidth>0</wp14:pctWidth>
              </wp14:sizeRelH>
              <wp14:sizeRelV relativeFrom="page">
                <wp14:pctHeight>0</wp14:pctHeight>
              </wp14:sizeRelV>
            </wp:anchor>
          </w:drawing>
        </mc:Choice>
        <mc:Fallback>
          <w:pict>
            <v:line w14:anchorId="0B97742B" id="Conector recto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4pt,3.25pt" to="44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" strokecolor="#099" strokeweight="4.5pt">
              <v:stroke linestyle="thinThick"/>
              <w10:wrap anchorx="margin"/>
            </v:lin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21EEE"/>
    <w:multiLevelType w:val="hybridMultilevel"/>
    <w:tmpl w:val="74A092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2594658C"/>
    <w:multiLevelType w:val="hybridMultilevel"/>
    <w:tmpl w:val="F0CC881E"/>
    <w:lvl w:ilvl="0" w:tplc="705CF4E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5E96A03"/>
    <w:multiLevelType w:val="hybridMultilevel"/>
    <w:tmpl w:val="9B16003A"/>
    <w:lvl w:ilvl="0" w:tplc="32DCA80E">
      <w:start w:val="1"/>
      <w:numFmt w:val="upperLetter"/>
      <w:lvlText w:val="%1."/>
      <w:lvlJc w:val="left"/>
      <w:pPr>
        <w:ind w:left="1437" w:hanging="360"/>
      </w:pPr>
      <w:rPr>
        <w:rFonts w:hint="default"/>
      </w:rPr>
    </w:lvl>
    <w:lvl w:ilvl="1" w:tplc="080A0019" w:tentative="1">
      <w:start w:val="1"/>
      <w:numFmt w:val="lowerLetter"/>
      <w:lvlText w:val="%2."/>
      <w:lvlJc w:val="left"/>
      <w:pPr>
        <w:ind w:left="2157" w:hanging="360"/>
      </w:pPr>
    </w:lvl>
    <w:lvl w:ilvl="2" w:tplc="080A001B" w:tentative="1">
      <w:start w:val="1"/>
      <w:numFmt w:val="lowerRoman"/>
      <w:lvlText w:val="%3."/>
      <w:lvlJc w:val="right"/>
      <w:pPr>
        <w:ind w:left="2877" w:hanging="180"/>
      </w:pPr>
    </w:lvl>
    <w:lvl w:ilvl="3" w:tplc="080A000F" w:tentative="1">
      <w:start w:val="1"/>
      <w:numFmt w:val="decimal"/>
      <w:lvlText w:val="%4."/>
      <w:lvlJc w:val="left"/>
      <w:pPr>
        <w:ind w:left="3597" w:hanging="360"/>
      </w:pPr>
    </w:lvl>
    <w:lvl w:ilvl="4" w:tplc="080A0019" w:tentative="1">
      <w:start w:val="1"/>
      <w:numFmt w:val="lowerLetter"/>
      <w:lvlText w:val="%5."/>
      <w:lvlJc w:val="left"/>
      <w:pPr>
        <w:ind w:left="4317" w:hanging="360"/>
      </w:pPr>
    </w:lvl>
    <w:lvl w:ilvl="5" w:tplc="080A001B" w:tentative="1">
      <w:start w:val="1"/>
      <w:numFmt w:val="lowerRoman"/>
      <w:lvlText w:val="%6."/>
      <w:lvlJc w:val="right"/>
      <w:pPr>
        <w:ind w:left="5037" w:hanging="180"/>
      </w:pPr>
    </w:lvl>
    <w:lvl w:ilvl="6" w:tplc="080A000F" w:tentative="1">
      <w:start w:val="1"/>
      <w:numFmt w:val="decimal"/>
      <w:lvlText w:val="%7."/>
      <w:lvlJc w:val="left"/>
      <w:pPr>
        <w:ind w:left="5757" w:hanging="360"/>
      </w:pPr>
    </w:lvl>
    <w:lvl w:ilvl="7" w:tplc="080A0019" w:tentative="1">
      <w:start w:val="1"/>
      <w:numFmt w:val="lowerLetter"/>
      <w:lvlText w:val="%8."/>
      <w:lvlJc w:val="left"/>
      <w:pPr>
        <w:ind w:left="6477" w:hanging="360"/>
      </w:pPr>
    </w:lvl>
    <w:lvl w:ilvl="8" w:tplc="080A001B" w:tentative="1">
      <w:start w:val="1"/>
      <w:numFmt w:val="lowerRoman"/>
      <w:lvlText w:val="%9."/>
      <w:lvlJc w:val="right"/>
      <w:pPr>
        <w:ind w:left="7197" w:hanging="180"/>
      </w:pPr>
    </w:lvl>
  </w:abstractNum>
  <w:abstractNum w:abstractNumId="3" w15:restartNumberingAfterBreak="0">
    <w:nsid w:val="67EF0AC4"/>
    <w:multiLevelType w:val="hybridMultilevel"/>
    <w:tmpl w:val="063A1DFA"/>
    <w:lvl w:ilvl="0" w:tplc="50DEB5B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73124056">
    <w:abstractNumId w:val="3"/>
  </w:num>
  <w:num w:numId="2" w16cid:durableId="1818952302">
    <w:abstractNumId w:val="0"/>
  </w:num>
  <w:num w:numId="3" w16cid:durableId="1365593963">
    <w:abstractNumId w:val="1"/>
  </w:num>
  <w:num w:numId="4" w16cid:durableId="79810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9C5"/>
    <w:rsid w:val="00040780"/>
    <w:rsid w:val="000A26DA"/>
    <w:rsid w:val="000B0A02"/>
    <w:rsid w:val="0010251F"/>
    <w:rsid w:val="001638BA"/>
    <w:rsid w:val="001C612A"/>
    <w:rsid w:val="0024449E"/>
    <w:rsid w:val="00246F3D"/>
    <w:rsid w:val="00266320"/>
    <w:rsid w:val="00333719"/>
    <w:rsid w:val="003C2520"/>
    <w:rsid w:val="003E55BF"/>
    <w:rsid w:val="00417168"/>
    <w:rsid w:val="0042615E"/>
    <w:rsid w:val="004640A2"/>
    <w:rsid w:val="00482F3A"/>
    <w:rsid w:val="004D6C6B"/>
    <w:rsid w:val="00525458"/>
    <w:rsid w:val="0054055A"/>
    <w:rsid w:val="005468B9"/>
    <w:rsid w:val="006B66F8"/>
    <w:rsid w:val="006D10F1"/>
    <w:rsid w:val="006E1AEF"/>
    <w:rsid w:val="0071013F"/>
    <w:rsid w:val="00762FE3"/>
    <w:rsid w:val="00823F90"/>
    <w:rsid w:val="008B6A35"/>
    <w:rsid w:val="008C3328"/>
    <w:rsid w:val="008D20B3"/>
    <w:rsid w:val="008D3A2D"/>
    <w:rsid w:val="00A0505A"/>
    <w:rsid w:val="00A17938"/>
    <w:rsid w:val="00A929C5"/>
    <w:rsid w:val="00AA171E"/>
    <w:rsid w:val="00AD18EA"/>
    <w:rsid w:val="00C16390"/>
    <w:rsid w:val="00C35567"/>
    <w:rsid w:val="00C612F8"/>
    <w:rsid w:val="00D257F7"/>
    <w:rsid w:val="00D77DAE"/>
    <w:rsid w:val="00DE0C53"/>
    <w:rsid w:val="00E41845"/>
    <w:rsid w:val="00E472C4"/>
    <w:rsid w:val="00E80D76"/>
    <w:rsid w:val="00EF6EF8"/>
    <w:rsid w:val="00F47285"/>
    <w:rsid w:val="00F76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B9C8"/>
  <w15:chartTrackingRefBased/>
  <w15:docId w15:val="{4BEA2603-8281-4654-A2FF-9E076A6C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13F"/>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A92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2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29C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29C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29C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29C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29C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29C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29C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29C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29C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29C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29C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29C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29C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29C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29C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29C5"/>
    <w:rPr>
      <w:rFonts w:eastAsiaTheme="majorEastAsia" w:cstheme="majorBidi"/>
      <w:color w:val="272727" w:themeColor="text1" w:themeTint="D8"/>
    </w:rPr>
  </w:style>
  <w:style w:type="paragraph" w:styleId="Ttulo">
    <w:name w:val="Title"/>
    <w:basedOn w:val="Normal"/>
    <w:next w:val="Normal"/>
    <w:link w:val="TtuloCar"/>
    <w:uiPriority w:val="10"/>
    <w:qFormat/>
    <w:rsid w:val="00A929C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29C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29C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29C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29C5"/>
    <w:pPr>
      <w:spacing w:before="160"/>
      <w:jc w:val="center"/>
    </w:pPr>
    <w:rPr>
      <w:i/>
      <w:iCs/>
      <w:color w:val="404040" w:themeColor="text1" w:themeTint="BF"/>
    </w:rPr>
  </w:style>
  <w:style w:type="character" w:customStyle="1" w:styleId="CitaCar">
    <w:name w:val="Cita Car"/>
    <w:basedOn w:val="Fuentedeprrafopredeter"/>
    <w:link w:val="Cita"/>
    <w:uiPriority w:val="29"/>
    <w:rsid w:val="00A929C5"/>
    <w:rPr>
      <w:i/>
      <w:iCs/>
      <w:color w:val="404040" w:themeColor="text1" w:themeTint="BF"/>
    </w:rPr>
  </w:style>
  <w:style w:type="paragraph" w:styleId="Prrafodelista">
    <w:name w:val="List Paragraph"/>
    <w:basedOn w:val="Normal"/>
    <w:uiPriority w:val="34"/>
    <w:qFormat/>
    <w:rsid w:val="00A929C5"/>
    <w:pPr>
      <w:ind w:left="720"/>
      <w:contextualSpacing/>
    </w:pPr>
  </w:style>
  <w:style w:type="character" w:styleId="nfasisintenso">
    <w:name w:val="Intense Emphasis"/>
    <w:basedOn w:val="Fuentedeprrafopredeter"/>
    <w:uiPriority w:val="21"/>
    <w:qFormat/>
    <w:rsid w:val="00A929C5"/>
    <w:rPr>
      <w:i/>
      <w:iCs/>
      <w:color w:val="0F4761" w:themeColor="accent1" w:themeShade="BF"/>
    </w:rPr>
  </w:style>
  <w:style w:type="paragraph" w:styleId="Citadestacada">
    <w:name w:val="Intense Quote"/>
    <w:basedOn w:val="Normal"/>
    <w:next w:val="Normal"/>
    <w:link w:val="CitadestacadaCar"/>
    <w:uiPriority w:val="30"/>
    <w:qFormat/>
    <w:rsid w:val="00A92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29C5"/>
    <w:rPr>
      <w:i/>
      <w:iCs/>
      <w:color w:val="0F4761" w:themeColor="accent1" w:themeShade="BF"/>
    </w:rPr>
  </w:style>
  <w:style w:type="character" w:styleId="Referenciaintensa">
    <w:name w:val="Intense Reference"/>
    <w:basedOn w:val="Fuentedeprrafopredeter"/>
    <w:uiPriority w:val="32"/>
    <w:qFormat/>
    <w:rsid w:val="00A929C5"/>
    <w:rPr>
      <w:b/>
      <w:bCs/>
      <w:smallCaps/>
      <w:color w:val="0F4761" w:themeColor="accent1" w:themeShade="BF"/>
      <w:spacing w:val="5"/>
    </w:rPr>
  </w:style>
  <w:style w:type="paragraph" w:styleId="Encabezado">
    <w:name w:val="header"/>
    <w:basedOn w:val="Normal"/>
    <w:link w:val="EncabezadoCar"/>
    <w:uiPriority w:val="99"/>
    <w:unhideWhenUsed/>
    <w:rsid w:val="00A929C5"/>
    <w:pPr>
      <w:tabs>
        <w:tab w:val="center" w:pos="4419"/>
        <w:tab w:val="right" w:pos="8838"/>
      </w:tabs>
    </w:pPr>
  </w:style>
  <w:style w:type="character" w:customStyle="1" w:styleId="EncabezadoCar">
    <w:name w:val="Encabezado Car"/>
    <w:basedOn w:val="Fuentedeprrafopredeter"/>
    <w:link w:val="Encabezado"/>
    <w:uiPriority w:val="99"/>
    <w:rsid w:val="00A929C5"/>
  </w:style>
  <w:style w:type="paragraph" w:styleId="Piedepgina">
    <w:name w:val="footer"/>
    <w:basedOn w:val="Normal"/>
    <w:link w:val="PiedepginaCar"/>
    <w:uiPriority w:val="99"/>
    <w:unhideWhenUsed/>
    <w:rsid w:val="00A929C5"/>
    <w:pPr>
      <w:tabs>
        <w:tab w:val="center" w:pos="4419"/>
        <w:tab w:val="right" w:pos="8838"/>
      </w:tabs>
    </w:pPr>
  </w:style>
  <w:style w:type="character" w:customStyle="1" w:styleId="PiedepginaCar">
    <w:name w:val="Pie de página Car"/>
    <w:basedOn w:val="Fuentedeprrafopredeter"/>
    <w:link w:val="Piedepgina"/>
    <w:uiPriority w:val="99"/>
    <w:rsid w:val="00A929C5"/>
  </w:style>
  <w:style w:type="table" w:styleId="Tablaconcuadrcula">
    <w:name w:val="Table Grid"/>
    <w:basedOn w:val="Tablanormal"/>
    <w:uiPriority w:val="39"/>
    <w:rsid w:val="00D257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E41845"/>
    <w:pPr>
      <w:spacing w:after="101" w:line="216" w:lineRule="exact"/>
      <w:ind w:firstLine="288"/>
      <w:jc w:val="both"/>
    </w:pPr>
    <w:rPr>
      <w:rFonts w:ascii="Arial" w:hAnsi="Arial" w:cs="Arial"/>
      <w:sz w:val="18"/>
      <w:szCs w:val="20"/>
      <w:lang w:val="es-ES"/>
    </w:rPr>
  </w:style>
  <w:style w:type="character" w:customStyle="1" w:styleId="TextoCar">
    <w:name w:val="Texto Car"/>
    <w:link w:val="Texto"/>
    <w:qFormat/>
    <w:locked/>
    <w:rsid w:val="00E41845"/>
    <w:rPr>
      <w:rFonts w:ascii="Arial" w:eastAsia="Times New Roman" w:hAnsi="Arial" w:cs="Arial"/>
      <w:kern w:val="0"/>
      <w:sz w:val="18"/>
      <w:szCs w:val="20"/>
      <w:lang w:val="es-ES" w:eastAsia="es-ES"/>
      <w14:ligatures w14:val="none"/>
    </w:rPr>
  </w:style>
  <w:style w:type="character" w:styleId="Hipervnculo">
    <w:name w:val="Hyperlink"/>
    <w:basedOn w:val="Fuentedeprrafopredeter"/>
    <w:uiPriority w:val="99"/>
    <w:semiHidden/>
    <w:unhideWhenUsed/>
    <w:rsid w:val="00F76B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hitaip.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0779-B734-49E6-AF9D-1D65C92B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1828</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Chapa</dc:creator>
  <cp:keywords/>
  <dc:description/>
  <cp:lastModifiedBy>Margarita Sanchez</cp:lastModifiedBy>
  <cp:revision>3</cp:revision>
  <cp:lastPrinted>2025-01-08T22:18:00Z</cp:lastPrinted>
  <dcterms:created xsi:type="dcterms:W3CDTF">2025-03-25T22:36:00Z</dcterms:created>
  <dcterms:modified xsi:type="dcterms:W3CDTF">2025-03-28T22:26:00Z</dcterms:modified>
</cp:coreProperties>
</file>